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  <w:bookmarkStart w:id="0" w:name="_GoBack"/>
      <w:bookmarkEnd w:id="0"/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B12D2D" w:rsidRDefault="00EB7940" w:rsidP="00DD1EAE">
      <w:pPr>
        <w:ind w:left="1276"/>
      </w:pPr>
      <w:r>
        <w:t xml:space="preserve">I DATI DEL </w:t>
      </w:r>
      <w:r w:rsidR="007F312E">
        <w:t>2</w:t>
      </w:r>
      <w:r w:rsidR="00E41842">
        <w:t>° TRIMESTRE 202</w:t>
      </w:r>
      <w:r>
        <w:t>2</w:t>
      </w:r>
      <w:r w:rsidR="00E41842">
        <w:t xml:space="preserve"> ELABORATI DALL</w:t>
      </w:r>
      <w:r w:rsidR="00A2726C">
        <w:t>’UFFICIO STUDI E RICERCHE</w:t>
      </w:r>
    </w:p>
    <w:p w:rsidR="00B33D60" w:rsidRPr="00514987" w:rsidRDefault="00B33D60" w:rsidP="00DD1EAE">
      <w:pPr>
        <w:ind w:left="1276"/>
      </w:pPr>
    </w:p>
    <w:p w:rsidR="00AF44C0" w:rsidRDefault="007F312E" w:rsidP="00AF44C0">
      <w:pPr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FATTURATO IN CRESCITA PER LE IMPRESE TRENTINE </w:t>
      </w:r>
      <w:r w:rsidR="009D664A">
        <w:rPr>
          <w:b/>
          <w:bCs/>
          <w:sz w:val="28"/>
          <w:szCs w:val="28"/>
        </w:rPr>
        <w:t>(+</w:t>
      </w:r>
      <w:r w:rsidR="00706584">
        <w:rPr>
          <w:b/>
          <w:bCs/>
          <w:sz w:val="28"/>
          <w:szCs w:val="28"/>
        </w:rPr>
        <w:t>15,3</w:t>
      </w:r>
      <w:r w:rsidR="009D664A">
        <w:rPr>
          <w:b/>
          <w:bCs/>
          <w:sz w:val="28"/>
          <w:szCs w:val="28"/>
        </w:rPr>
        <w:t>%)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229B7" w:rsidRDefault="00FC48F2" w:rsidP="00FF7398">
      <w:pPr>
        <w:ind w:left="1276" w:right="84"/>
      </w:pPr>
      <w:r>
        <w:t>VARIAZIONE POSITIVA</w:t>
      </w:r>
      <w:r w:rsidR="009D664A">
        <w:t xml:space="preserve"> LEGAT</w:t>
      </w:r>
      <w:r>
        <w:t>A</w:t>
      </w:r>
      <w:r w:rsidR="009D664A">
        <w:t xml:space="preserve"> </w:t>
      </w:r>
      <w:r w:rsidR="006D7BFA">
        <w:t>PER</w:t>
      </w:r>
      <w:r w:rsidR="00166627">
        <w:t>Ò</w:t>
      </w:r>
      <w:r w:rsidR="006D7BFA">
        <w:t xml:space="preserve"> </w:t>
      </w:r>
      <w:r w:rsidR="009D664A">
        <w:t>AL SENSIBILE AUMENTO DEI PREZZI</w:t>
      </w:r>
    </w:p>
    <w:p w:rsidR="009D664A" w:rsidRDefault="009D664A" w:rsidP="00FF7398">
      <w:pPr>
        <w:ind w:left="1276" w:right="84"/>
      </w:pPr>
    </w:p>
    <w:p w:rsidR="009D664A" w:rsidRDefault="00FC48F2" w:rsidP="00FF7398">
      <w:pPr>
        <w:ind w:left="1276" w:right="84"/>
      </w:pPr>
      <w:r>
        <w:t>IN CRESCITA SOSTENUTA GLI ORDINATIVI (</w:t>
      </w:r>
      <w:r w:rsidR="00E543F2">
        <w:t>+</w:t>
      </w:r>
      <w:r>
        <w:t xml:space="preserve">37,3%), </w:t>
      </w:r>
      <w:r w:rsidR="009D664A">
        <w:t>BENE LE ESPORTAZIONI (+25,7%)</w:t>
      </w:r>
    </w:p>
    <w:p w:rsidR="00C20EAC" w:rsidRDefault="00C20EAC" w:rsidP="00514987">
      <w:pPr>
        <w:ind w:left="1276"/>
      </w:pPr>
    </w:p>
    <w:p w:rsidR="00B00E52" w:rsidRDefault="00B00E52" w:rsidP="00514987">
      <w:pPr>
        <w:ind w:left="1276"/>
      </w:pPr>
    </w:p>
    <w:p w:rsidR="0007732B" w:rsidRDefault="0007732B" w:rsidP="0007732B">
      <w:pPr>
        <w:ind w:left="1276"/>
        <w:rPr>
          <w:bCs/>
        </w:rPr>
      </w:pPr>
      <w:r w:rsidRPr="0007732B">
        <w:rPr>
          <w:bCs/>
        </w:rPr>
        <w:t>I risultati emersi dall’analisi congiunturale del secondo trimestre 2022</w:t>
      </w:r>
      <w:r>
        <w:rPr>
          <w:bCs/>
        </w:rPr>
        <w:t xml:space="preserve"> – curata dall’Ufficio studi e ricerche della Camera di Commercio di Trento –</w:t>
      </w:r>
      <w:r w:rsidRPr="0007732B">
        <w:rPr>
          <w:bCs/>
        </w:rPr>
        <w:t xml:space="preserve"> sono in linea con quelli rilevati nel</w:t>
      </w:r>
      <w:r>
        <w:rPr>
          <w:bCs/>
        </w:rPr>
        <w:t xml:space="preserve"> </w:t>
      </w:r>
      <w:r w:rsidRPr="0007732B">
        <w:rPr>
          <w:bCs/>
        </w:rPr>
        <w:t xml:space="preserve">trimestre precedente. Le imprese trentine proseguono </w:t>
      </w:r>
      <w:r w:rsidR="00CD4F10">
        <w:rPr>
          <w:bCs/>
        </w:rPr>
        <w:t>il loro percorso di</w:t>
      </w:r>
      <w:r w:rsidRPr="0007732B">
        <w:rPr>
          <w:bCs/>
        </w:rPr>
        <w:t xml:space="preserve"> ripresa economica e</w:t>
      </w:r>
      <w:r>
        <w:rPr>
          <w:bCs/>
        </w:rPr>
        <w:t xml:space="preserve"> </w:t>
      </w:r>
      <w:r w:rsidRPr="0007732B">
        <w:rPr>
          <w:bCs/>
        </w:rPr>
        <w:t xml:space="preserve">occupazionale dopo i momenti difficili </w:t>
      </w:r>
      <w:r>
        <w:rPr>
          <w:bCs/>
        </w:rPr>
        <w:t>vissuti durante la</w:t>
      </w:r>
      <w:r w:rsidRPr="0007732B">
        <w:rPr>
          <w:bCs/>
        </w:rPr>
        <w:t xml:space="preserve"> pandemia e non sembrano </w:t>
      </w:r>
      <w:r w:rsidR="00072270" w:rsidRPr="0007732B">
        <w:rPr>
          <w:bCs/>
        </w:rPr>
        <w:t xml:space="preserve">ancora </w:t>
      </w:r>
      <w:r>
        <w:rPr>
          <w:bCs/>
        </w:rPr>
        <w:t xml:space="preserve">risentire </w:t>
      </w:r>
      <w:r w:rsidR="003B7D04">
        <w:rPr>
          <w:bCs/>
        </w:rPr>
        <w:t>troppo</w:t>
      </w:r>
      <w:r w:rsidRPr="0007732B">
        <w:rPr>
          <w:bCs/>
        </w:rPr>
        <w:t xml:space="preserve"> </w:t>
      </w:r>
      <w:r>
        <w:rPr>
          <w:bCs/>
        </w:rPr>
        <w:t>degli</w:t>
      </w:r>
      <w:r w:rsidRPr="0007732B">
        <w:rPr>
          <w:bCs/>
        </w:rPr>
        <w:t xml:space="preserve"> straordinari rincari dei beni energetici. È peraltro evidente che l’intensità della</w:t>
      </w:r>
      <w:r>
        <w:rPr>
          <w:bCs/>
        </w:rPr>
        <w:t xml:space="preserve"> </w:t>
      </w:r>
      <w:r w:rsidRPr="0007732B">
        <w:rPr>
          <w:bCs/>
        </w:rPr>
        <w:t>variazione tendenzial</w:t>
      </w:r>
      <w:r>
        <w:rPr>
          <w:bCs/>
        </w:rPr>
        <w:t>e</w:t>
      </w:r>
      <w:r w:rsidRPr="0007732B">
        <w:rPr>
          <w:bCs/>
        </w:rPr>
        <w:t xml:space="preserve"> del fatturato</w:t>
      </w:r>
      <w:r w:rsidR="00B57414">
        <w:rPr>
          <w:bCs/>
        </w:rPr>
        <w:t>, rilevata dall’indagine,</w:t>
      </w:r>
      <w:r w:rsidRPr="0007732B">
        <w:rPr>
          <w:bCs/>
        </w:rPr>
        <w:t xml:space="preserve"> dipende sensibilmente dagli aumenti dei prezzi.</w:t>
      </w:r>
    </w:p>
    <w:p w:rsidR="0007732B" w:rsidRDefault="0007732B" w:rsidP="0007732B">
      <w:pPr>
        <w:ind w:left="1276"/>
        <w:rPr>
          <w:bCs/>
        </w:rPr>
      </w:pPr>
    </w:p>
    <w:p w:rsidR="006E38B1" w:rsidRPr="006E38B1" w:rsidRDefault="00B57414" w:rsidP="0007732B">
      <w:pPr>
        <w:ind w:left="1276"/>
        <w:rPr>
          <w:bCs/>
        </w:rPr>
      </w:pPr>
      <w:r>
        <w:rPr>
          <w:bCs/>
        </w:rPr>
        <w:t>Dall’analisi congiunturale emerge che, n</w:t>
      </w:r>
      <w:r w:rsidR="00CD4F10" w:rsidRPr="006E38B1">
        <w:rPr>
          <w:bCs/>
        </w:rPr>
        <w:t>el secondo trimestre d</w:t>
      </w:r>
      <w:r>
        <w:rPr>
          <w:bCs/>
        </w:rPr>
        <w:t>i quest</w:t>
      </w:r>
      <w:r w:rsidR="00CD4F10" w:rsidRPr="006E38B1">
        <w:rPr>
          <w:bCs/>
        </w:rPr>
        <w:t>’anno</w:t>
      </w:r>
      <w:r>
        <w:rPr>
          <w:bCs/>
        </w:rPr>
        <w:t>, il</w:t>
      </w:r>
      <w:r w:rsidR="006E38B1" w:rsidRPr="006E38B1">
        <w:rPr>
          <w:bCs/>
        </w:rPr>
        <w:t xml:space="preserve"> </w:t>
      </w:r>
      <w:r w:rsidR="006E38B1" w:rsidRPr="00B57414">
        <w:rPr>
          <w:b/>
          <w:bCs/>
        </w:rPr>
        <w:t>fatturato delle imprese</w:t>
      </w:r>
      <w:r w:rsidR="006E38B1" w:rsidRPr="006E38B1">
        <w:rPr>
          <w:bCs/>
        </w:rPr>
        <w:t xml:space="preserve"> </w:t>
      </w:r>
      <w:r w:rsidR="0007732B">
        <w:rPr>
          <w:bCs/>
        </w:rPr>
        <w:t xml:space="preserve">trentine </w:t>
      </w:r>
      <w:r>
        <w:rPr>
          <w:bCs/>
        </w:rPr>
        <w:t>esaminate</w:t>
      </w:r>
      <w:r w:rsidR="006E38B1" w:rsidRPr="006E38B1">
        <w:rPr>
          <w:bCs/>
        </w:rPr>
        <w:t xml:space="preserve"> cresce del 15,3% rispetto all</w:t>
      </w:r>
      <w:r>
        <w:rPr>
          <w:bCs/>
        </w:rPr>
        <w:t>o stesso</w:t>
      </w:r>
      <w:r w:rsidR="006E38B1" w:rsidRPr="006E38B1">
        <w:rPr>
          <w:bCs/>
        </w:rPr>
        <w:t xml:space="preserve"> </w:t>
      </w:r>
      <w:r w:rsidR="003B7D04">
        <w:rPr>
          <w:bCs/>
        </w:rPr>
        <w:t>periodo</w:t>
      </w:r>
      <w:r w:rsidR="006E38B1" w:rsidRPr="006E38B1">
        <w:rPr>
          <w:bCs/>
        </w:rPr>
        <w:t xml:space="preserve"> del 2021. </w:t>
      </w:r>
    </w:p>
    <w:p w:rsidR="002A624D" w:rsidRDefault="002A624D" w:rsidP="006E38B1">
      <w:pPr>
        <w:ind w:left="1276"/>
        <w:rPr>
          <w:bCs/>
        </w:rPr>
      </w:pPr>
    </w:p>
    <w:p w:rsidR="006E38B1" w:rsidRPr="006E38B1" w:rsidRDefault="00B57414" w:rsidP="006E38B1">
      <w:pPr>
        <w:ind w:left="1276"/>
        <w:rPr>
          <w:bCs/>
        </w:rPr>
      </w:pPr>
      <w:r>
        <w:rPr>
          <w:bCs/>
        </w:rPr>
        <w:t>Anche l</w:t>
      </w:r>
      <w:r w:rsidR="006E38B1" w:rsidRPr="006E38B1">
        <w:rPr>
          <w:bCs/>
        </w:rPr>
        <w:t xml:space="preserve">a </w:t>
      </w:r>
      <w:r w:rsidR="006E38B1" w:rsidRPr="006278AD">
        <w:rPr>
          <w:b/>
          <w:bCs/>
        </w:rPr>
        <w:t>domanda interna</w:t>
      </w:r>
      <w:r w:rsidR="006E38B1" w:rsidRPr="006E38B1">
        <w:rPr>
          <w:bCs/>
        </w:rPr>
        <w:t xml:space="preserve"> </w:t>
      </w:r>
      <w:r>
        <w:rPr>
          <w:bCs/>
        </w:rPr>
        <w:t>fa registrare un aumento considerevole</w:t>
      </w:r>
      <w:r w:rsidR="006E38B1" w:rsidRPr="006E38B1">
        <w:rPr>
          <w:bCs/>
        </w:rPr>
        <w:t xml:space="preserve">. </w:t>
      </w:r>
      <w:r>
        <w:rPr>
          <w:bCs/>
        </w:rPr>
        <w:t xml:space="preserve">Nello specifico, </w:t>
      </w:r>
      <w:r w:rsidR="003B5C73">
        <w:rPr>
          <w:bCs/>
        </w:rPr>
        <w:t xml:space="preserve">tra aprile e giugno, </w:t>
      </w:r>
      <w:r w:rsidR="006E38B1" w:rsidRPr="006E38B1">
        <w:rPr>
          <w:bCs/>
        </w:rPr>
        <w:t>la domanda locale</w:t>
      </w:r>
      <w:r w:rsidR="002A624D">
        <w:rPr>
          <w:bCs/>
        </w:rPr>
        <w:t xml:space="preserve"> </w:t>
      </w:r>
      <w:r w:rsidR="006E38B1" w:rsidRPr="006E38B1">
        <w:rPr>
          <w:bCs/>
        </w:rPr>
        <w:t xml:space="preserve">mostra una variazione in aumento </w:t>
      </w:r>
      <w:r w:rsidR="003B5C73" w:rsidRPr="006E38B1">
        <w:rPr>
          <w:bCs/>
        </w:rPr>
        <w:t>del +10,4%</w:t>
      </w:r>
      <w:r w:rsidR="003B5C73">
        <w:rPr>
          <w:bCs/>
        </w:rPr>
        <w:t xml:space="preserve"> </w:t>
      </w:r>
      <w:r w:rsidR="006E38B1" w:rsidRPr="006E38B1">
        <w:rPr>
          <w:bCs/>
        </w:rPr>
        <w:t>rispetto all’analogo periodo dell’anno precedente, mentre</w:t>
      </w:r>
      <w:r w:rsidR="002A624D">
        <w:rPr>
          <w:bCs/>
        </w:rPr>
        <w:t xml:space="preserve"> </w:t>
      </w:r>
      <w:r w:rsidR="003B5C73">
        <w:rPr>
          <w:bCs/>
        </w:rPr>
        <w:t>risulta ancora maggiore la crescita del</w:t>
      </w:r>
      <w:r w:rsidR="006E38B1" w:rsidRPr="006E38B1">
        <w:rPr>
          <w:bCs/>
        </w:rPr>
        <w:t>la domanda nazionale</w:t>
      </w:r>
      <w:r w:rsidR="003B7D04">
        <w:rPr>
          <w:bCs/>
        </w:rPr>
        <w:t>,</w:t>
      </w:r>
      <w:r w:rsidR="006E38B1" w:rsidRPr="006E38B1">
        <w:rPr>
          <w:bCs/>
        </w:rPr>
        <w:t xml:space="preserve"> </w:t>
      </w:r>
      <w:r w:rsidR="003B5C73">
        <w:rPr>
          <w:bCs/>
        </w:rPr>
        <w:t>che è</w:t>
      </w:r>
      <w:r w:rsidR="006E38B1" w:rsidRPr="006E38B1">
        <w:rPr>
          <w:bCs/>
        </w:rPr>
        <w:t xml:space="preserve"> pari al +16,6%.</w:t>
      </w:r>
    </w:p>
    <w:p w:rsidR="002A624D" w:rsidRDefault="002A624D" w:rsidP="006E38B1">
      <w:pPr>
        <w:ind w:left="1276"/>
        <w:rPr>
          <w:bCs/>
        </w:rPr>
      </w:pPr>
    </w:p>
    <w:p w:rsidR="006E38B1" w:rsidRPr="006E38B1" w:rsidRDefault="006E38B1" w:rsidP="006E38B1">
      <w:pPr>
        <w:ind w:left="1276"/>
        <w:rPr>
          <w:bCs/>
        </w:rPr>
      </w:pPr>
      <w:r w:rsidRPr="006E38B1">
        <w:rPr>
          <w:bCs/>
        </w:rPr>
        <w:t xml:space="preserve">Le </w:t>
      </w:r>
      <w:r w:rsidRPr="00E4582F">
        <w:rPr>
          <w:b/>
          <w:bCs/>
        </w:rPr>
        <w:t>esportazioni</w:t>
      </w:r>
      <w:r w:rsidRPr="006E38B1">
        <w:rPr>
          <w:bCs/>
        </w:rPr>
        <w:t xml:space="preserve"> </w:t>
      </w:r>
      <w:r w:rsidR="006278AD">
        <w:rPr>
          <w:bCs/>
        </w:rPr>
        <w:t xml:space="preserve">si confermano in ripresa sostenuta, </w:t>
      </w:r>
      <w:r w:rsidRPr="006E38B1">
        <w:rPr>
          <w:bCs/>
        </w:rPr>
        <w:t>con una variazione</w:t>
      </w:r>
      <w:r w:rsidR="002A624D">
        <w:rPr>
          <w:bCs/>
        </w:rPr>
        <w:t xml:space="preserve"> </w:t>
      </w:r>
      <w:r w:rsidRPr="006E38B1">
        <w:rPr>
          <w:bCs/>
        </w:rPr>
        <w:t>positiva su base annua del 25,7%.</w:t>
      </w:r>
    </w:p>
    <w:p w:rsidR="002A624D" w:rsidRDefault="002A624D" w:rsidP="006E38B1">
      <w:pPr>
        <w:ind w:left="1276"/>
        <w:rPr>
          <w:bCs/>
        </w:rPr>
      </w:pPr>
    </w:p>
    <w:p w:rsidR="006E38B1" w:rsidRPr="006E38B1" w:rsidRDefault="00531612" w:rsidP="006E38B1">
      <w:pPr>
        <w:ind w:left="1276"/>
        <w:rPr>
          <w:bCs/>
        </w:rPr>
      </w:pPr>
      <w:r>
        <w:rPr>
          <w:bCs/>
        </w:rPr>
        <w:t xml:space="preserve">Per quanto riguarda i diversi </w:t>
      </w:r>
      <w:r w:rsidRPr="000D699F">
        <w:rPr>
          <w:b/>
          <w:bCs/>
        </w:rPr>
        <w:t>settori economici</w:t>
      </w:r>
      <w:r>
        <w:rPr>
          <w:bCs/>
        </w:rPr>
        <w:t>, t</w:t>
      </w:r>
      <w:r w:rsidR="006E38B1" w:rsidRPr="006E38B1">
        <w:rPr>
          <w:bCs/>
        </w:rPr>
        <w:t xml:space="preserve">utti </w:t>
      </w:r>
      <w:r>
        <w:rPr>
          <w:bCs/>
        </w:rPr>
        <w:t xml:space="preserve">registrano una consistente variazione </w:t>
      </w:r>
      <w:r w:rsidR="006E38B1" w:rsidRPr="006E38B1">
        <w:rPr>
          <w:bCs/>
        </w:rPr>
        <w:t>positiva del fatturato su base tendenziale</w:t>
      </w:r>
      <w:r>
        <w:rPr>
          <w:bCs/>
        </w:rPr>
        <w:t>. Il comparto m</w:t>
      </w:r>
      <w:r w:rsidR="006E38B1" w:rsidRPr="006E38B1">
        <w:rPr>
          <w:bCs/>
        </w:rPr>
        <w:t xml:space="preserve">anifatturiero e </w:t>
      </w:r>
      <w:r>
        <w:rPr>
          <w:bCs/>
        </w:rPr>
        <w:t>de</w:t>
      </w:r>
      <w:r w:rsidR="006E38B1" w:rsidRPr="006E38B1">
        <w:rPr>
          <w:bCs/>
        </w:rPr>
        <w:t xml:space="preserve">i trasporti si connotano per le dinamiche </w:t>
      </w:r>
      <w:r w:rsidR="006E38B1" w:rsidRPr="006E38B1">
        <w:rPr>
          <w:bCs/>
        </w:rPr>
        <w:lastRenderedPageBreak/>
        <w:t>più sostenute</w:t>
      </w:r>
      <w:r w:rsidR="00E457EA">
        <w:rPr>
          <w:bCs/>
        </w:rPr>
        <w:t xml:space="preserve"> (rispettivamente +</w:t>
      </w:r>
      <w:r w:rsidR="006D7BFA">
        <w:rPr>
          <w:bCs/>
        </w:rPr>
        <w:t>27,3</w:t>
      </w:r>
      <w:r w:rsidR="00E457EA">
        <w:rPr>
          <w:bCs/>
        </w:rPr>
        <w:t>% e +</w:t>
      </w:r>
      <w:r w:rsidR="006D7BFA">
        <w:rPr>
          <w:bCs/>
        </w:rPr>
        <w:t>13,8</w:t>
      </w:r>
      <w:r w:rsidR="00E457EA">
        <w:rPr>
          <w:bCs/>
        </w:rPr>
        <w:t>%)</w:t>
      </w:r>
      <w:r w:rsidR="006E38B1" w:rsidRPr="006E38B1">
        <w:rPr>
          <w:bCs/>
        </w:rPr>
        <w:t>, mentre i servizi alle</w:t>
      </w:r>
      <w:r w:rsidR="002A624D">
        <w:rPr>
          <w:bCs/>
        </w:rPr>
        <w:t xml:space="preserve"> </w:t>
      </w:r>
      <w:r w:rsidR="006E38B1" w:rsidRPr="006E38B1">
        <w:rPr>
          <w:bCs/>
        </w:rPr>
        <w:t xml:space="preserve">imprese </w:t>
      </w:r>
      <w:r w:rsidR="00E457EA">
        <w:rPr>
          <w:bCs/>
        </w:rPr>
        <w:t>rimangono su valori più contenuti (</w:t>
      </w:r>
      <w:r w:rsidR="006D7BFA">
        <w:rPr>
          <w:bCs/>
        </w:rPr>
        <w:t>+3,1</w:t>
      </w:r>
      <w:r w:rsidR="00E457EA">
        <w:rPr>
          <w:bCs/>
        </w:rPr>
        <w:t>%)</w:t>
      </w:r>
      <w:r w:rsidR="006E38B1" w:rsidRPr="006E38B1">
        <w:rPr>
          <w:bCs/>
        </w:rPr>
        <w:t>.</w:t>
      </w:r>
    </w:p>
    <w:p w:rsidR="002A624D" w:rsidRDefault="002A624D" w:rsidP="006E38B1">
      <w:pPr>
        <w:ind w:left="1276"/>
        <w:rPr>
          <w:bCs/>
        </w:rPr>
      </w:pPr>
    </w:p>
    <w:p w:rsidR="002421CF" w:rsidRDefault="002421CF" w:rsidP="006E38B1">
      <w:pPr>
        <w:ind w:left="1276"/>
        <w:rPr>
          <w:bCs/>
        </w:rPr>
      </w:pPr>
      <w:r>
        <w:rPr>
          <w:bCs/>
        </w:rPr>
        <w:t xml:space="preserve">Per tutte le </w:t>
      </w:r>
      <w:r w:rsidRPr="002421CF">
        <w:rPr>
          <w:b/>
          <w:bCs/>
        </w:rPr>
        <w:t>classi dimensionali</w:t>
      </w:r>
      <w:r>
        <w:rPr>
          <w:bCs/>
        </w:rPr>
        <w:t xml:space="preserve"> la variazione tendenziale del fatturato si dimostra molto positiva, in particolare per le imprese di dimensioni maggiori, che registrano un </w:t>
      </w:r>
      <w:r w:rsidRPr="006E38B1">
        <w:rPr>
          <w:bCs/>
        </w:rPr>
        <w:t>+20,4%</w:t>
      </w:r>
      <w:r>
        <w:rPr>
          <w:bCs/>
        </w:rPr>
        <w:t>.</w:t>
      </w:r>
    </w:p>
    <w:p w:rsidR="002421CF" w:rsidRDefault="002421CF" w:rsidP="006E38B1">
      <w:pPr>
        <w:ind w:left="1276"/>
        <w:rPr>
          <w:bCs/>
        </w:rPr>
      </w:pPr>
    </w:p>
    <w:p w:rsidR="002A624D" w:rsidRDefault="006E38B1" w:rsidP="002421CF">
      <w:pPr>
        <w:ind w:left="1276"/>
        <w:rPr>
          <w:bCs/>
        </w:rPr>
      </w:pPr>
      <w:r w:rsidRPr="006E38B1">
        <w:rPr>
          <w:bCs/>
        </w:rPr>
        <w:t>L’</w:t>
      </w:r>
      <w:r w:rsidRPr="002421CF">
        <w:rPr>
          <w:b/>
          <w:bCs/>
        </w:rPr>
        <w:t>occupazione</w:t>
      </w:r>
      <w:r w:rsidRPr="006E38B1">
        <w:rPr>
          <w:bCs/>
        </w:rPr>
        <w:t xml:space="preserve"> evidenzia una moderata crescita (+2,1%). Le variazioni positive più marcate si rilevano</w:t>
      </w:r>
      <w:r w:rsidR="002A624D">
        <w:rPr>
          <w:bCs/>
        </w:rPr>
        <w:t xml:space="preserve"> </w:t>
      </w:r>
      <w:r w:rsidRPr="006E38B1">
        <w:rPr>
          <w:bCs/>
        </w:rPr>
        <w:t>nei settori del manifatturiero e dei servizi alle imprese</w:t>
      </w:r>
      <w:r w:rsidR="002421CF">
        <w:rPr>
          <w:bCs/>
        </w:rPr>
        <w:t>, mentre si</w:t>
      </w:r>
      <w:r w:rsidRPr="006E38B1">
        <w:rPr>
          <w:bCs/>
        </w:rPr>
        <w:t xml:space="preserve"> riducono leggermente gli addetti del</w:t>
      </w:r>
      <w:r w:rsidR="002A624D">
        <w:rPr>
          <w:bCs/>
        </w:rPr>
        <w:t xml:space="preserve"> </w:t>
      </w:r>
      <w:r w:rsidRPr="006E38B1">
        <w:rPr>
          <w:bCs/>
        </w:rPr>
        <w:t>commercio.</w:t>
      </w:r>
    </w:p>
    <w:p w:rsidR="006E38B1" w:rsidRPr="006E38B1" w:rsidRDefault="00F749EE" w:rsidP="006E38B1">
      <w:pPr>
        <w:ind w:left="1276"/>
        <w:rPr>
          <w:bCs/>
        </w:rPr>
      </w:pPr>
      <w:r>
        <w:rPr>
          <w:bCs/>
        </w:rPr>
        <w:t xml:space="preserve">Risulta negativo </w:t>
      </w:r>
      <w:r w:rsidRPr="006E38B1">
        <w:rPr>
          <w:bCs/>
        </w:rPr>
        <w:t>(-0,8%)</w:t>
      </w:r>
      <w:r>
        <w:rPr>
          <w:bCs/>
        </w:rPr>
        <w:t xml:space="preserve"> l</w:t>
      </w:r>
      <w:r w:rsidR="006E38B1" w:rsidRPr="006E38B1">
        <w:rPr>
          <w:bCs/>
        </w:rPr>
        <w:t xml:space="preserve">’andamento occupazionale presso le unità di più piccola dimensione (fino a 10 addetti), mentre </w:t>
      </w:r>
      <w:r>
        <w:rPr>
          <w:bCs/>
        </w:rPr>
        <w:t>è</w:t>
      </w:r>
      <w:r w:rsidR="006E38B1" w:rsidRPr="006E38B1">
        <w:rPr>
          <w:bCs/>
        </w:rPr>
        <w:t xml:space="preserve"> in crescita</w:t>
      </w:r>
      <w:r>
        <w:rPr>
          <w:bCs/>
        </w:rPr>
        <w:t xml:space="preserve"> quello</w:t>
      </w:r>
      <w:r w:rsidR="006E38B1" w:rsidRPr="006E38B1">
        <w:rPr>
          <w:bCs/>
        </w:rPr>
        <w:t xml:space="preserve"> tra le medie (tra 11 e 50) e le grandi imprese (oltre 50), </w:t>
      </w:r>
      <w:r>
        <w:rPr>
          <w:bCs/>
        </w:rPr>
        <w:t>che registrano rispettivamente +3,6% e</w:t>
      </w:r>
      <w:r w:rsidR="006E38B1" w:rsidRPr="006E38B1">
        <w:rPr>
          <w:bCs/>
        </w:rPr>
        <w:t xml:space="preserve"> +4,0%.</w:t>
      </w:r>
    </w:p>
    <w:p w:rsidR="002A624D" w:rsidRDefault="002A624D" w:rsidP="006E38B1">
      <w:pPr>
        <w:ind w:left="1276"/>
        <w:rPr>
          <w:bCs/>
        </w:rPr>
      </w:pPr>
    </w:p>
    <w:p w:rsidR="006E38B1" w:rsidRPr="006E38B1" w:rsidRDefault="006E38B1" w:rsidP="006E38B1">
      <w:pPr>
        <w:ind w:left="1276"/>
        <w:rPr>
          <w:bCs/>
        </w:rPr>
      </w:pPr>
      <w:r w:rsidRPr="006E38B1">
        <w:rPr>
          <w:bCs/>
        </w:rPr>
        <w:t xml:space="preserve">Gli </w:t>
      </w:r>
      <w:r w:rsidRPr="00F749EE">
        <w:rPr>
          <w:b/>
          <w:bCs/>
        </w:rPr>
        <w:t>ordinativi</w:t>
      </w:r>
      <w:r w:rsidRPr="006E38B1">
        <w:rPr>
          <w:bCs/>
        </w:rPr>
        <w:t xml:space="preserve"> continuano a caratterizzarsi per una crescita eccezionale (+37,3%), che</w:t>
      </w:r>
      <w:r w:rsidR="002A624D">
        <w:rPr>
          <w:bCs/>
        </w:rPr>
        <w:t xml:space="preserve"> </w:t>
      </w:r>
      <w:r w:rsidRPr="006E38B1">
        <w:rPr>
          <w:bCs/>
        </w:rPr>
        <w:t>interessa trasversalmente tutti i settori e, in particolar modo, il commercio all’ingrosso e il manifatturiero.</w:t>
      </w:r>
    </w:p>
    <w:p w:rsidR="002A624D" w:rsidRDefault="002A624D" w:rsidP="006E38B1">
      <w:pPr>
        <w:ind w:left="1276"/>
        <w:rPr>
          <w:bCs/>
        </w:rPr>
      </w:pPr>
    </w:p>
    <w:p w:rsidR="002A624D" w:rsidRDefault="006E38B1" w:rsidP="006E38B1">
      <w:pPr>
        <w:ind w:left="1276"/>
        <w:rPr>
          <w:bCs/>
        </w:rPr>
      </w:pPr>
      <w:r w:rsidRPr="006E38B1">
        <w:rPr>
          <w:bCs/>
        </w:rPr>
        <w:t xml:space="preserve">I </w:t>
      </w:r>
      <w:r w:rsidRPr="00F749EE">
        <w:rPr>
          <w:b/>
          <w:bCs/>
        </w:rPr>
        <w:t>giudizi degli imprenditori</w:t>
      </w:r>
      <w:r w:rsidRPr="006E38B1">
        <w:rPr>
          <w:bCs/>
        </w:rPr>
        <w:t xml:space="preserve"> sulla redditività e sulla situazione economica dell’azienda sono attualmente</w:t>
      </w:r>
      <w:r w:rsidR="002A624D">
        <w:rPr>
          <w:bCs/>
        </w:rPr>
        <w:t xml:space="preserve"> </w:t>
      </w:r>
      <w:r w:rsidRPr="006E38B1">
        <w:rPr>
          <w:bCs/>
        </w:rPr>
        <w:t xml:space="preserve">ancora favorevoli, ma </w:t>
      </w:r>
      <w:r w:rsidR="00F749EE">
        <w:rPr>
          <w:bCs/>
        </w:rPr>
        <w:t>quelli</w:t>
      </w:r>
      <w:r w:rsidRPr="006E38B1">
        <w:rPr>
          <w:bCs/>
        </w:rPr>
        <w:t xml:space="preserve"> in prospettiva evidenziano un consistente peggioramento</w:t>
      </w:r>
      <w:r w:rsidR="003B7D04">
        <w:rPr>
          <w:bCs/>
        </w:rPr>
        <w:t>,</w:t>
      </w:r>
      <w:r w:rsidRPr="006E38B1">
        <w:rPr>
          <w:bCs/>
        </w:rPr>
        <w:t xml:space="preserve"> influenzato dagli</w:t>
      </w:r>
      <w:r w:rsidR="002A624D">
        <w:rPr>
          <w:bCs/>
        </w:rPr>
        <w:t xml:space="preserve"> </w:t>
      </w:r>
      <w:r w:rsidRPr="006E38B1">
        <w:rPr>
          <w:bCs/>
        </w:rPr>
        <w:t>au</w:t>
      </w:r>
      <w:r w:rsidR="00F749EE">
        <w:rPr>
          <w:bCs/>
        </w:rPr>
        <w:t>menti straordinari dei prezzi d</w:t>
      </w:r>
      <w:r w:rsidRPr="006E38B1">
        <w:rPr>
          <w:bCs/>
        </w:rPr>
        <w:t xml:space="preserve">i beni energetici e materie prime. </w:t>
      </w:r>
    </w:p>
    <w:p w:rsidR="002A624D" w:rsidRDefault="002A624D" w:rsidP="006E38B1">
      <w:pPr>
        <w:ind w:left="1276"/>
        <w:rPr>
          <w:bCs/>
        </w:rPr>
      </w:pPr>
    </w:p>
    <w:p w:rsidR="002623C5" w:rsidRDefault="00BD7CFA" w:rsidP="00CE172A">
      <w:pPr>
        <w:ind w:left="1276"/>
        <w:rPr>
          <w:bCs/>
        </w:rPr>
      </w:pPr>
      <w:r>
        <w:rPr>
          <w:bCs/>
        </w:rPr>
        <w:t xml:space="preserve">“Anche in base </w:t>
      </w:r>
      <w:r w:rsidRPr="00CE172A">
        <w:rPr>
          <w:bCs/>
        </w:rPr>
        <w:t>al</w:t>
      </w:r>
      <w:r>
        <w:rPr>
          <w:bCs/>
        </w:rPr>
        <w:t xml:space="preserve"> </w:t>
      </w:r>
      <w:proofErr w:type="spellStart"/>
      <w:r w:rsidRPr="00D33AA9">
        <w:rPr>
          <w:bCs/>
          <w:i/>
        </w:rPr>
        <w:t>sentiment</w:t>
      </w:r>
      <w:proofErr w:type="spellEnd"/>
      <w:r>
        <w:rPr>
          <w:bCs/>
        </w:rPr>
        <w:t xml:space="preserve"> degli imprenditori </w:t>
      </w:r>
      <w:r w:rsidR="002623C5">
        <w:rPr>
          <w:bCs/>
        </w:rPr>
        <w:t xml:space="preserve">– ha commentato </w:t>
      </w:r>
      <w:r w:rsidR="00CE172A">
        <w:rPr>
          <w:b/>
          <w:bCs/>
        </w:rPr>
        <w:t>Luca</w:t>
      </w:r>
      <w:r w:rsidR="00980C36">
        <w:rPr>
          <w:b/>
          <w:bCs/>
        </w:rPr>
        <w:t xml:space="preserve"> Rigotti</w:t>
      </w:r>
      <w:r w:rsidR="002623C5">
        <w:rPr>
          <w:bCs/>
        </w:rPr>
        <w:t xml:space="preserve">, </w:t>
      </w:r>
      <w:r w:rsidR="00980C36">
        <w:rPr>
          <w:bCs/>
        </w:rPr>
        <w:t>Vicep</w:t>
      </w:r>
      <w:r w:rsidR="002623C5">
        <w:rPr>
          <w:bCs/>
        </w:rPr>
        <w:t>residente della Camera di Commercio di Trento –</w:t>
      </w:r>
      <w:r w:rsidR="00D33AA9">
        <w:rPr>
          <w:bCs/>
        </w:rPr>
        <w:t xml:space="preserve"> </w:t>
      </w:r>
      <w:r>
        <w:rPr>
          <w:bCs/>
        </w:rPr>
        <w:t xml:space="preserve">le prospettive </w:t>
      </w:r>
      <w:r w:rsidRPr="00CE172A">
        <w:rPr>
          <w:bCs/>
        </w:rPr>
        <w:t>per i prossimi m</w:t>
      </w:r>
      <w:r w:rsidRPr="009443A1">
        <w:rPr>
          <w:bCs/>
        </w:rPr>
        <w:t>e</w:t>
      </w:r>
      <w:r>
        <w:rPr>
          <w:bCs/>
        </w:rPr>
        <w:t>si</w:t>
      </w:r>
      <w:r w:rsidRPr="00CE172A">
        <w:rPr>
          <w:bCs/>
        </w:rPr>
        <w:t xml:space="preserve"> </w:t>
      </w:r>
      <w:r w:rsidR="00CE172A" w:rsidRPr="00CE172A">
        <w:rPr>
          <w:bCs/>
        </w:rPr>
        <w:t xml:space="preserve">appaiono </w:t>
      </w:r>
      <w:r w:rsidR="00D33AA9">
        <w:rPr>
          <w:bCs/>
        </w:rPr>
        <w:t xml:space="preserve">piuttosto buie e gli indici </w:t>
      </w:r>
      <w:r>
        <w:rPr>
          <w:bCs/>
        </w:rPr>
        <w:t xml:space="preserve">di riferimento </w:t>
      </w:r>
      <w:r w:rsidR="00CE172A" w:rsidRPr="00CE172A">
        <w:rPr>
          <w:bCs/>
        </w:rPr>
        <w:t xml:space="preserve">in decisa diminuzione. La crescita eccezionale dei prezzi dei beni energetici </w:t>
      </w:r>
      <w:r w:rsidR="00D33AA9">
        <w:rPr>
          <w:bCs/>
        </w:rPr>
        <w:t xml:space="preserve">si preannuncia </w:t>
      </w:r>
      <w:r w:rsidR="00CE172A" w:rsidRPr="00CE172A">
        <w:rPr>
          <w:bCs/>
        </w:rPr>
        <w:t>prolungata nel tempo e</w:t>
      </w:r>
      <w:r w:rsidR="00D33AA9">
        <w:rPr>
          <w:bCs/>
        </w:rPr>
        <w:t>,</w:t>
      </w:r>
      <w:r w:rsidR="00CE172A" w:rsidRPr="00CE172A">
        <w:rPr>
          <w:bCs/>
        </w:rPr>
        <w:t xml:space="preserve"> se possibile</w:t>
      </w:r>
      <w:r w:rsidR="00D33AA9">
        <w:rPr>
          <w:bCs/>
        </w:rPr>
        <w:t>,</w:t>
      </w:r>
      <w:r w:rsidR="00CE172A" w:rsidRPr="00CE172A">
        <w:rPr>
          <w:bCs/>
        </w:rPr>
        <w:t xml:space="preserve"> in ulteriore accelerazione. Con l’approssimarsi della stagione fredda</w:t>
      </w:r>
      <w:r w:rsidR="00D33AA9">
        <w:rPr>
          <w:bCs/>
        </w:rPr>
        <w:t xml:space="preserve"> poi, </w:t>
      </w:r>
      <w:r w:rsidR="00CE172A" w:rsidRPr="00CE172A">
        <w:rPr>
          <w:bCs/>
        </w:rPr>
        <w:t xml:space="preserve">l’impatto di questi rincari rischia di diventare </w:t>
      </w:r>
      <w:r>
        <w:rPr>
          <w:bCs/>
        </w:rPr>
        <w:t xml:space="preserve">ulteriormente </w:t>
      </w:r>
      <w:r w:rsidR="00691F06">
        <w:rPr>
          <w:bCs/>
        </w:rPr>
        <w:t>critica</w:t>
      </w:r>
      <w:r w:rsidR="00D33AA9">
        <w:rPr>
          <w:bCs/>
        </w:rPr>
        <w:t xml:space="preserve"> per molte imprese e, </w:t>
      </w:r>
      <w:r w:rsidR="00CE172A" w:rsidRPr="00CE172A">
        <w:rPr>
          <w:bCs/>
        </w:rPr>
        <w:t>in assenza di interventi di</w:t>
      </w:r>
      <w:r w:rsidR="00D33AA9">
        <w:rPr>
          <w:bCs/>
        </w:rPr>
        <w:t xml:space="preserve"> </w:t>
      </w:r>
      <w:r w:rsidR="00CE172A" w:rsidRPr="00CE172A">
        <w:rPr>
          <w:bCs/>
        </w:rPr>
        <w:t xml:space="preserve">supporto, </w:t>
      </w:r>
      <w:r w:rsidR="00D33AA9">
        <w:rPr>
          <w:bCs/>
        </w:rPr>
        <w:t>si potranno creare i</w:t>
      </w:r>
      <w:r w:rsidR="00CE172A" w:rsidRPr="00CE172A">
        <w:rPr>
          <w:bCs/>
        </w:rPr>
        <w:t xml:space="preserve"> presupposti per </w:t>
      </w:r>
      <w:r w:rsidR="00D33AA9">
        <w:rPr>
          <w:bCs/>
        </w:rPr>
        <w:t>l’avvento di una nuova fase recessiva</w:t>
      </w:r>
      <w:r w:rsidR="00772114">
        <w:rPr>
          <w:bCs/>
        </w:rPr>
        <w:t>”.</w:t>
      </w:r>
    </w:p>
    <w:p w:rsidR="002623C5" w:rsidRDefault="002623C5" w:rsidP="00FA65C8">
      <w:pPr>
        <w:ind w:left="1276"/>
        <w:rPr>
          <w:bCs/>
        </w:rPr>
      </w:pPr>
    </w:p>
    <w:p w:rsidR="00FA65C8" w:rsidRPr="00FA65C8" w:rsidRDefault="00FA65C8" w:rsidP="00FA65C8">
      <w:pPr>
        <w:ind w:left="1276"/>
        <w:rPr>
          <w:bCs/>
        </w:rPr>
      </w:pPr>
      <w:r w:rsidRPr="003C061C">
        <w:rPr>
          <w:bCs/>
        </w:rPr>
        <w:t xml:space="preserve">La </w:t>
      </w:r>
      <w:hyperlink r:id="rId8" w:tgtFrame="_blank" w:history="1">
        <w:r w:rsidR="002C4AD4">
          <w:rPr>
            <w:rStyle w:val="Collegamentoipertestuale"/>
            <w:bCs/>
          </w:rPr>
          <w:t>pubblicazione integrale</w:t>
        </w:r>
      </w:hyperlink>
      <w:r w:rsidR="002C4AD4">
        <w:rPr>
          <w:bCs/>
        </w:rPr>
        <w:t xml:space="preserve"> </w:t>
      </w:r>
      <w:hyperlink r:id="rId9" w:tgtFrame="_blank" w:history="1">
        <w:r w:rsidR="00063D21" w:rsidRPr="006E38B1">
          <w:rPr>
            <w:rStyle w:val="Collegamentoipertestuale"/>
            <w:bCs/>
            <w:color w:val="auto"/>
            <w:u w:val="none"/>
          </w:rPr>
          <w:t>“La congiuntura in provincia di Trento-</w:t>
        </w:r>
        <w:r w:rsidR="006E38B1">
          <w:rPr>
            <w:rStyle w:val="Collegamentoipertestuale"/>
            <w:bCs/>
            <w:color w:val="auto"/>
            <w:u w:val="none"/>
          </w:rPr>
          <w:t>2</w:t>
        </w:r>
        <w:r w:rsidR="00063D21" w:rsidRPr="006E38B1">
          <w:rPr>
            <w:rStyle w:val="Collegamentoipertestuale"/>
            <w:bCs/>
            <w:color w:val="auto"/>
            <w:u w:val="none"/>
          </w:rPr>
          <w:t>° trimestre 2022”</w:t>
        </w:r>
      </w:hyperlink>
      <w:r w:rsidR="00C26C64" w:rsidRPr="006E38B1">
        <w:rPr>
          <w:bCs/>
        </w:rPr>
        <w:t xml:space="preserve"> </w:t>
      </w:r>
      <w:r w:rsidRPr="006E38B1">
        <w:rPr>
          <w:bCs/>
        </w:rPr>
        <w:t>e le</w:t>
      </w:r>
      <w:r w:rsidR="000F66E9" w:rsidRPr="006E38B1">
        <w:rPr>
          <w:bCs/>
        </w:rPr>
        <w:t xml:space="preserve"> </w:t>
      </w:r>
      <w:hyperlink r:id="rId10" w:tgtFrame="_blank" w:history="1">
        <w:r w:rsidR="002C4AD4" w:rsidRPr="002C4AD4">
          <w:rPr>
            <w:rStyle w:val="Collegamentoipertestuale"/>
            <w:bCs/>
            <w:i/>
          </w:rPr>
          <w:t>slide</w:t>
        </w:r>
      </w:hyperlink>
      <w:r w:rsidR="002C4AD4">
        <w:rPr>
          <w:bCs/>
        </w:rPr>
        <w:t xml:space="preserve"> </w:t>
      </w:r>
      <w:r w:rsidRPr="003C061C">
        <w:rPr>
          <w:bCs/>
        </w:rPr>
        <w:t>sono disponibili sul sito della Camera di Commercio di Trento.</w:t>
      </w:r>
    </w:p>
    <w:p w:rsidR="00BE5EA0" w:rsidRDefault="00BE5EA0" w:rsidP="00514987">
      <w:pPr>
        <w:ind w:left="1276"/>
      </w:pPr>
    </w:p>
    <w:p w:rsidR="009443A1" w:rsidRDefault="009443A1" w:rsidP="00514987">
      <w:pPr>
        <w:ind w:left="1276"/>
      </w:pPr>
    </w:p>
    <w:p w:rsidR="00EC7105" w:rsidRPr="00BE5EA0" w:rsidRDefault="00EC7105" w:rsidP="00514987">
      <w:pPr>
        <w:ind w:left="1276"/>
      </w:pPr>
      <w:r w:rsidRPr="00BE5EA0">
        <w:t xml:space="preserve">Trento, </w:t>
      </w:r>
      <w:r w:rsidR="006E38B1">
        <w:t>28 settembre</w:t>
      </w:r>
      <w:r w:rsidR="00251496">
        <w:t xml:space="preserve"> 2022</w:t>
      </w:r>
    </w:p>
    <w:sectPr w:rsidR="00EC7105" w:rsidRPr="00BE5EA0" w:rsidSect="00DD6DA9">
      <w:footerReference w:type="default" r:id="rId11"/>
      <w:headerReference w:type="first" r:id="rId12"/>
      <w:footerReference w:type="first" r:id="rId13"/>
      <w:pgSz w:w="11906" w:h="16838" w:code="9"/>
      <w:pgMar w:top="2495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C4" w:rsidRDefault="006056C4">
      <w:r>
        <w:separator/>
      </w:r>
    </w:p>
  </w:endnote>
  <w:endnote w:type="continuationSeparator" w:id="0">
    <w:p w:rsidR="006056C4" w:rsidRDefault="0060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 xml:space="preserve">via </w:t>
    </w:r>
    <w:proofErr w:type="spellStart"/>
    <w:r w:rsidRPr="00A406C4">
      <w:rPr>
        <w:rFonts w:ascii="Amazing Grotesk" w:hAnsi="Amazing Grotesk"/>
        <w:color w:val="9D1914"/>
        <w:sz w:val="14"/>
        <w:szCs w:val="14"/>
      </w:rPr>
      <w:t>Calepina</w:t>
    </w:r>
    <w:proofErr w:type="spellEnd"/>
    <w:r w:rsidRPr="00A406C4">
      <w:rPr>
        <w:rFonts w:ascii="Amazing Grotesk" w:hAnsi="Amazing Grotesk"/>
        <w:color w:val="9D1914"/>
        <w:sz w:val="14"/>
        <w:szCs w:val="14"/>
      </w:rPr>
      <w:t xml:space="preserve"> 13</w:t>
    </w:r>
  </w:p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38122 Trento</w:t>
    </w:r>
  </w:p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tel. 0461 887269</w:t>
    </w:r>
  </w:p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fax 0461 986358</w:t>
    </w:r>
  </w:p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ufficio.stampa@tn.camcom.it</w:t>
    </w:r>
  </w:p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cciaa@tn.legalmail.camcom.it</w:t>
    </w:r>
  </w:p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www.tn.camcom.it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 xml:space="preserve">via </w:t>
    </w:r>
    <w:proofErr w:type="spellStart"/>
    <w:r w:rsidRPr="00A406C4">
      <w:rPr>
        <w:rFonts w:ascii="Amazing Grotesk" w:hAnsi="Amazing Grotesk"/>
        <w:color w:val="9D1914"/>
        <w:sz w:val="14"/>
        <w:szCs w:val="14"/>
      </w:rPr>
      <w:t>Calepina</w:t>
    </w:r>
    <w:proofErr w:type="spellEnd"/>
    <w:r w:rsidRPr="00A406C4">
      <w:rPr>
        <w:rFonts w:ascii="Amazing Grotesk" w:hAnsi="Amazing Grotesk"/>
        <w:color w:val="9D1914"/>
        <w:sz w:val="14"/>
        <w:szCs w:val="14"/>
      </w:rPr>
      <w:t xml:space="preserve"> 13</w:t>
    </w:r>
  </w:p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38122 Trento</w:t>
    </w:r>
  </w:p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tel. 0461 887269</w:t>
    </w:r>
  </w:p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fax 0461 986358</w:t>
    </w:r>
  </w:p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ufficio.stampa@tn.camcom.it</w:t>
    </w:r>
  </w:p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cciaa@tn.legalmail.camcom.it</w:t>
    </w:r>
  </w:p>
  <w:p w:rsidR="006056C4" w:rsidRPr="00A406C4" w:rsidRDefault="006056C4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www.tn.camcom.it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C4" w:rsidRDefault="006056C4">
      <w:r>
        <w:separator/>
      </w:r>
    </w:p>
  </w:footnote>
  <w:footnote w:type="continuationSeparator" w:id="0">
    <w:p w:rsidR="006056C4" w:rsidRDefault="0060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C4" w:rsidRDefault="006056C4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6" name="Immagine 6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56C4" w:rsidRDefault="006056C4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034A"/>
    <w:rsid w:val="000117E6"/>
    <w:rsid w:val="0001390C"/>
    <w:rsid w:val="0002106F"/>
    <w:rsid w:val="00025707"/>
    <w:rsid w:val="000269CA"/>
    <w:rsid w:val="00031F75"/>
    <w:rsid w:val="00037F6E"/>
    <w:rsid w:val="00040F2B"/>
    <w:rsid w:val="000470E6"/>
    <w:rsid w:val="00047BA2"/>
    <w:rsid w:val="000533B8"/>
    <w:rsid w:val="00053E8B"/>
    <w:rsid w:val="00055BF5"/>
    <w:rsid w:val="00056257"/>
    <w:rsid w:val="00063D21"/>
    <w:rsid w:val="00067410"/>
    <w:rsid w:val="00067C22"/>
    <w:rsid w:val="00070E64"/>
    <w:rsid w:val="00070E99"/>
    <w:rsid w:val="000719F4"/>
    <w:rsid w:val="00072270"/>
    <w:rsid w:val="00074F6B"/>
    <w:rsid w:val="00076DD3"/>
    <w:rsid w:val="0007732B"/>
    <w:rsid w:val="00082DFA"/>
    <w:rsid w:val="00083AA9"/>
    <w:rsid w:val="00084CC0"/>
    <w:rsid w:val="00090110"/>
    <w:rsid w:val="00092D31"/>
    <w:rsid w:val="00093CAD"/>
    <w:rsid w:val="000A03C0"/>
    <w:rsid w:val="000A19DB"/>
    <w:rsid w:val="000A6030"/>
    <w:rsid w:val="000B3AE0"/>
    <w:rsid w:val="000C045B"/>
    <w:rsid w:val="000C5CCC"/>
    <w:rsid w:val="000C6289"/>
    <w:rsid w:val="000C62B5"/>
    <w:rsid w:val="000C7BD4"/>
    <w:rsid w:val="000D3D35"/>
    <w:rsid w:val="000D699F"/>
    <w:rsid w:val="000E343F"/>
    <w:rsid w:val="000E58E6"/>
    <w:rsid w:val="000F25A0"/>
    <w:rsid w:val="000F66E9"/>
    <w:rsid w:val="000F7A8F"/>
    <w:rsid w:val="00102F6E"/>
    <w:rsid w:val="00102F75"/>
    <w:rsid w:val="00104E2C"/>
    <w:rsid w:val="001105D3"/>
    <w:rsid w:val="001167B2"/>
    <w:rsid w:val="001171B3"/>
    <w:rsid w:val="0012213D"/>
    <w:rsid w:val="0012470A"/>
    <w:rsid w:val="00125816"/>
    <w:rsid w:val="0013007A"/>
    <w:rsid w:val="00130283"/>
    <w:rsid w:val="001353A9"/>
    <w:rsid w:val="001419AE"/>
    <w:rsid w:val="00141BAD"/>
    <w:rsid w:val="00141EC9"/>
    <w:rsid w:val="0014560D"/>
    <w:rsid w:val="00145706"/>
    <w:rsid w:val="00146462"/>
    <w:rsid w:val="00151592"/>
    <w:rsid w:val="00155532"/>
    <w:rsid w:val="0016196C"/>
    <w:rsid w:val="001636C9"/>
    <w:rsid w:val="00166627"/>
    <w:rsid w:val="00172E2A"/>
    <w:rsid w:val="00174309"/>
    <w:rsid w:val="00176E40"/>
    <w:rsid w:val="00180C87"/>
    <w:rsid w:val="00180E1E"/>
    <w:rsid w:val="00185207"/>
    <w:rsid w:val="0019703B"/>
    <w:rsid w:val="00197332"/>
    <w:rsid w:val="001A0A6D"/>
    <w:rsid w:val="001B3264"/>
    <w:rsid w:val="001B3A78"/>
    <w:rsid w:val="001C16C7"/>
    <w:rsid w:val="001C3091"/>
    <w:rsid w:val="001C554C"/>
    <w:rsid w:val="001C63B4"/>
    <w:rsid w:val="001C72E4"/>
    <w:rsid w:val="001D0321"/>
    <w:rsid w:val="001D43E8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161EE"/>
    <w:rsid w:val="0022484B"/>
    <w:rsid w:val="00224CE9"/>
    <w:rsid w:val="002261F5"/>
    <w:rsid w:val="00226A40"/>
    <w:rsid w:val="00227243"/>
    <w:rsid w:val="00230EB5"/>
    <w:rsid w:val="002313A7"/>
    <w:rsid w:val="00232F52"/>
    <w:rsid w:val="00234E4E"/>
    <w:rsid w:val="00241EA4"/>
    <w:rsid w:val="002421CF"/>
    <w:rsid w:val="00243031"/>
    <w:rsid w:val="00243791"/>
    <w:rsid w:val="00243B10"/>
    <w:rsid w:val="0025111C"/>
    <w:rsid w:val="00251496"/>
    <w:rsid w:val="00252C17"/>
    <w:rsid w:val="00260696"/>
    <w:rsid w:val="002623C5"/>
    <w:rsid w:val="0026345A"/>
    <w:rsid w:val="00270687"/>
    <w:rsid w:val="00284D7F"/>
    <w:rsid w:val="0028528A"/>
    <w:rsid w:val="00285ECC"/>
    <w:rsid w:val="002861C1"/>
    <w:rsid w:val="002864E3"/>
    <w:rsid w:val="0029245F"/>
    <w:rsid w:val="00292D60"/>
    <w:rsid w:val="002941BD"/>
    <w:rsid w:val="002A107E"/>
    <w:rsid w:val="002A25E1"/>
    <w:rsid w:val="002A406B"/>
    <w:rsid w:val="002A624D"/>
    <w:rsid w:val="002A78BF"/>
    <w:rsid w:val="002B2059"/>
    <w:rsid w:val="002B2B2A"/>
    <w:rsid w:val="002B7819"/>
    <w:rsid w:val="002C2A3E"/>
    <w:rsid w:val="002C4AD4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51DE"/>
    <w:rsid w:val="002F7403"/>
    <w:rsid w:val="00304F34"/>
    <w:rsid w:val="003228AE"/>
    <w:rsid w:val="00324685"/>
    <w:rsid w:val="00324D13"/>
    <w:rsid w:val="00325D0E"/>
    <w:rsid w:val="0032681E"/>
    <w:rsid w:val="00327AD2"/>
    <w:rsid w:val="0033526B"/>
    <w:rsid w:val="00336C91"/>
    <w:rsid w:val="003437C8"/>
    <w:rsid w:val="00344EA8"/>
    <w:rsid w:val="00350754"/>
    <w:rsid w:val="00351708"/>
    <w:rsid w:val="003577AC"/>
    <w:rsid w:val="00370E47"/>
    <w:rsid w:val="00370FF1"/>
    <w:rsid w:val="0037134B"/>
    <w:rsid w:val="00372FA8"/>
    <w:rsid w:val="00373DAC"/>
    <w:rsid w:val="0037549D"/>
    <w:rsid w:val="003769FB"/>
    <w:rsid w:val="00383F68"/>
    <w:rsid w:val="0039001E"/>
    <w:rsid w:val="00394A40"/>
    <w:rsid w:val="00397376"/>
    <w:rsid w:val="003A1192"/>
    <w:rsid w:val="003A3BE2"/>
    <w:rsid w:val="003B05AA"/>
    <w:rsid w:val="003B0E44"/>
    <w:rsid w:val="003B137E"/>
    <w:rsid w:val="003B1DE1"/>
    <w:rsid w:val="003B5C73"/>
    <w:rsid w:val="003B76B5"/>
    <w:rsid w:val="003B7D04"/>
    <w:rsid w:val="003C061C"/>
    <w:rsid w:val="003C099A"/>
    <w:rsid w:val="003C2802"/>
    <w:rsid w:val="003C2D4A"/>
    <w:rsid w:val="003C3247"/>
    <w:rsid w:val="003D086B"/>
    <w:rsid w:val="003D2C05"/>
    <w:rsid w:val="003D33BB"/>
    <w:rsid w:val="003D6094"/>
    <w:rsid w:val="003E4096"/>
    <w:rsid w:val="003F19BF"/>
    <w:rsid w:val="003F1A52"/>
    <w:rsid w:val="003F3E2B"/>
    <w:rsid w:val="003F678A"/>
    <w:rsid w:val="00402E8F"/>
    <w:rsid w:val="004033CB"/>
    <w:rsid w:val="0041106F"/>
    <w:rsid w:val="0041443C"/>
    <w:rsid w:val="00415BCC"/>
    <w:rsid w:val="004254A4"/>
    <w:rsid w:val="00425E36"/>
    <w:rsid w:val="00426156"/>
    <w:rsid w:val="00426993"/>
    <w:rsid w:val="00427A25"/>
    <w:rsid w:val="00430007"/>
    <w:rsid w:val="00430AD9"/>
    <w:rsid w:val="00434A23"/>
    <w:rsid w:val="00437921"/>
    <w:rsid w:val="004410A6"/>
    <w:rsid w:val="00451636"/>
    <w:rsid w:val="00454637"/>
    <w:rsid w:val="00455D46"/>
    <w:rsid w:val="004578F8"/>
    <w:rsid w:val="0046069E"/>
    <w:rsid w:val="0047629E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A1CAA"/>
    <w:rsid w:val="004A6C6F"/>
    <w:rsid w:val="004B1730"/>
    <w:rsid w:val="004B1D64"/>
    <w:rsid w:val="004B538C"/>
    <w:rsid w:val="004C3082"/>
    <w:rsid w:val="004C3F85"/>
    <w:rsid w:val="004C6169"/>
    <w:rsid w:val="004D023C"/>
    <w:rsid w:val="004D1CC9"/>
    <w:rsid w:val="004D1EB8"/>
    <w:rsid w:val="004D2719"/>
    <w:rsid w:val="004D3175"/>
    <w:rsid w:val="004D3B61"/>
    <w:rsid w:val="004D4D4E"/>
    <w:rsid w:val="004E034B"/>
    <w:rsid w:val="004E0B10"/>
    <w:rsid w:val="004E254E"/>
    <w:rsid w:val="004E2F72"/>
    <w:rsid w:val="004E58E8"/>
    <w:rsid w:val="004F1E76"/>
    <w:rsid w:val="004F4027"/>
    <w:rsid w:val="004F5039"/>
    <w:rsid w:val="004F6EE2"/>
    <w:rsid w:val="0050050A"/>
    <w:rsid w:val="00500D85"/>
    <w:rsid w:val="00505E25"/>
    <w:rsid w:val="00507DCB"/>
    <w:rsid w:val="0051003E"/>
    <w:rsid w:val="005122C8"/>
    <w:rsid w:val="0051281F"/>
    <w:rsid w:val="00514987"/>
    <w:rsid w:val="00526273"/>
    <w:rsid w:val="00527C89"/>
    <w:rsid w:val="005310BB"/>
    <w:rsid w:val="00531390"/>
    <w:rsid w:val="00531612"/>
    <w:rsid w:val="00532D30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87F2D"/>
    <w:rsid w:val="00590560"/>
    <w:rsid w:val="00593CA2"/>
    <w:rsid w:val="005954E9"/>
    <w:rsid w:val="00597EFC"/>
    <w:rsid w:val="005A0D10"/>
    <w:rsid w:val="005A4386"/>
    <w:rsid w:val="005A4610"/>
    <w:rsid w:val="005A5575"/>
    <w:rsid w:val="005B7251"/>
    <w:rsid w:val="005B7F3C"/>
    <w:rsid w:val="005C0EE9"/>
    <w:rsid w:val="005D12E0"/>
    <w:rsid w:val="005D245C"/>
    <w:rsid w:val="005D3682"/>
    <w:rsid w:val="005D38FC"/>
    <w:rsid w:val="005D5592"/>
    <w:rsid w:val="005E0D91"/>
    <w:rsid w:val="005E5E60"/>
    <w:rsid w:val="005E610A"/>
    <w:rsid w:val="005F0B48"/>
    <w:rsid w:val="005F1E36"/>
    <w:rsid w:val="005F596D"/>
    <w:rsid w:val="005F5A03"/>
    <w:rsid w:val="005F6F74"/>
    <w:rsid w:val="005F7777"/>
    <w:rsid w:val="00600A6D"/>
    <w:rsid w:val="00603F83"/>
    <w:rsid w:val="00604DEF"/>
    <w:rsid w:val="006056C4"/>
    <w:rsid w:val="006076C2"/>
    <w:rsid w:val="006112AA"/>
    <w:rsid w:val="00611D55"/>
    <w:rsid w:val="00612742"/>
    <w:rsid w:val="006136DF"/>
    <w:rsid w:val="00616C21"/>
    <w:rsid w:val="006229B7"/>
    <w:rsid w:val="00623CE0"/>
    <w:rsid w:val="006241FF"/>
    <w:rsid w:val="00624F85"/>
    <w:rsid w:val="006278AD"/>
    <w:rsid w:val="00633976"/>
    <w:rsid w:val="00634532"/>
    <w:rsid w:val="006425AC"/>
    <w:rsid w:val="00643E51"/>
    <w:rsid w:val="00644F94"/>
    <w:rsid w:val="00645317"/>
    <w:rsid w:val="00650648"/>
    <w:rsid w:val="00650B91"/>
    <w:rsid w:val="006627F1"/>
    <w:rsid w:val="00662DC3"/>
    <w:rsid w:val="006634F2"/>
    <w:rsid w:val="00663AD2"/>
    <w:rsid w:val="00663CFB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4C4A"/>
    <w:rsid w:val="00685B2C"/>
    <w:rsid w:val="00690AFA"/>
    <w:rsid w:val="00691228"/>
    <w:rsid w:val="00691F06"/>
    <w:rsid w:val="006923FA"/>
    <w:rsid w:val="0069601E"/>
    <w:rsid w:val="006A0AC7"/>
    <w:rsid w:val="006A0E0D"/>
    <w:rsid w:val="006A29A6"/>
    <w:rsid w:val="006A363D"/>
    <w:rsid w:val="006A36D1"/>
    <w:rsid w:val="006A4667"/>
    <w:rsid w:val="006A5306"/>
    <w:rsid w:val="006A657A"/>
    <w:rsid w:val="006A74E4"/>
    <w:rsid w:val="006B1685"/>
    <w:rsid w:val="006B1D4D"/>
    <w:rsid w:val="006B2B85"/>
    <w:rsid w:val="006B6052"/>
    <w:rsid w:val="006C05DB"/>
    <w:rsid w:val="006C07FD"/>
    <w:rsid w:val="006C11C0"/>
    <w:rsid w:val="006C6B48"/>
    <w:rsid w:val="006D65B1"/>
    <w:rsid w:val="006D7BFA"/>
    <w:rsid w:val="006E38B1"/>
    <w:rsid w:val="006E762F"/>
    <w:rsid w:val="006F0AFA"/>
    <w:rsid w:val="006F0BB4"/>
    <w:rsid w:val="006F3058"/>
    <w:rsid w:val="007009C2"/>
    <w:rsid w:val="00706584"/>
    <w:rsid w:val="00710CA5"/>
    <w:rsid w:val="0071360F"/>
    <w:rsid w:val="00715B49"/>
    <w:rsid w:val="00716DCD"/>
    <w:rsid w:val="00716F4F"/>
    <w:rsid w:val="00717EA9"/>
    <w:rsid w:val="007213A0"/>
    <w:rsid w:val="0072450D"/>
    <w:rsid w:val="00724D64"/>
    <w:rsid w:val="007269BF"/>
    <w:rsid w:val="00727366"/>
    <w:rsid w:val="007317B0"/>
    <w:rsid w:val="00736179"/>
    <w:rsid w:val="00742C40"/>
    <w:rsid w:val="00744AB0"/>
    <w:rsid w:val="007514D5"/>
    <w:rsid w:val="00755C36"/>
    <w:rsid w:val="00764265"/>
    <w:rsid w:val="007650C1"/>
    <w:rsid w:val="0077129E"/>
    <w:rsid w:val="00772114"/>
    <w:rsid w:val="00773A2A"/>
    <w:rsid w:val="0077654C"/>
    <w:rsid w:val="00780778"/>
    <w:rsid w:val="0078210A"/>
    <w:rsid w:val="007826B1"/>
    <w:rsid w:val="007858AD"/>
    <w:rsid w:val="00790A38"/>
    <w:rsid w:val="0079139D"/>
    <w:rsid w:val="00791B5C"/>
    <w:rsid w:val="00796309"/>
    <w:rsid w:val="007968B7"/>
    <w:rsid w:val="007A59B3"/>
    <w:rsid w:val="007B12EB"/>
    <w:rsid w:val="007B2F2F"/>
    <w:rsid w:val="007B44B1"/>
    <w:rsid w:val="007B4E9C"/>
    <w:rsid w:val="007C003F"/>
    <w:rsid w:val="007C17C9"/>
    <w:rsid w:val="007C29A7"/>
    <w:rsid w:val="007C3899"/>
    <w:rsid w:val="007C674E"/>
    <w:rsid w:val="007E068F"/>
    <w:rsid w:val="007E1A7C"/>
    <w:rsid w:val="007E332B"/>
    <w:rsid w:val="007E3475"/>
    <w:rsid w:val="007E771C"/>
    <w:rsid w:val="007F0137"/>
    <w:rsid w:val="007F1144"/>
    <w:rsid w:val="007F312E"/>
    <w:rsid w:val="007F5C70"/>
    <w:rsid w:val="007F5DA4"/>
    <w:rsid w:val="00802167"/>
    <w:rsid w:val="0080507D"/>
    <w:rsid w:val="008076F3"/>
    <w:rsid w:val="00811A14"/>
    <w:rsid w:val="00813390"/>
    <w:rsid w:val="00815592"/>
    <w:rsid w:val="00815F1C"/>
    <w:rsid w:val="00846019"/>
    <w:rsid w:val="00851A94"/>
    <w:rsid w:val="0085202F"/>
    <w:rsid w:val="00853FDB"/>
    <w:rsid w:val="00865D73"/>
    <w:rsid w:val="00866107"/>
    <w:rsid w:val="00870052"/>
    <w:rsid w:val="00870DBC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A08F7"/>
    <w:rsid w:val="008A096E"/>
    <w:rsid w:val="008B2F0C"/>
    <w:rsid w:val="008B335E"/>
    <w:rsid w:val="008B4158"/>
    <w:rsid w:val="008B7598"/>
    <w:rsid w:val="008C678A"/>
    <w:rsid w:val="008C7DF3"/>
    <w:rsid w:val="008D0DCA"/>
    <w:rsid w:val="008D4F84"/>
    <w:rsid w:val="008D5AE3"/>
    <w:rsid w:val="008E034D"/>
    <w:rsid w:val="008E2962"/>
    <w:rsid w:val="008E5E49"/>
    <w:rsid w:val="008F1C9A"/>
    <w:rsid w:val="008F39AA"/>
    <w:rsid w:val="008F469B"/>
    <w:rsid w:val="008F477C"/>
    <w:rsid w:val="008F6C89"/>
    <w:rsid w:val="0090380A"/>
    <w:rsid w:val="009139FC"/>
    <w:rsid w:val="00917B87"/>
    <w:rsid w:val="009247FD"/>
    <w:rsid w:val="00941858"/>
    <w:rsid w:val="009438B2"/>
    <w:rsid w:val="009443A1"/>
    <w:rsid w:val="0094730F"/>
    <w:rsid w:val="00950B25"/>
    <w:rsid w:val="00953231"/>
    <w:rsid w:val="00954CD5"/>
    <w:rsid w:val="00956508"/>
    <w:rsid w:val="00956F2E"/>
    <w:rsid w:val="0096513C"/>
    <w:rsid w:val="0096771B"/>
    <w:rsid w:val="00972C7D"/>
    <w:rsid w:val="00973857"/>
    <w:rsid w:val="00973FFF"/>
    <w:rsid w:val="00980C36"/>
    <w:rsid w:val="00982D23"/>
    <w:rsid w:val="00985B03"/>
    <w:rsid w:val="00991071"/>
    <w:rsid w:val="009944D6"/>
    <w:rsid w:val="00994BBB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0D91"/>
    <w:rsid w:val="009D1895"/>
    <w:rsid w:val="009D1F52"/>
    <w:rsid w:val="009D26FB"/>
    <w:rsid w:val="009D664A"/>
    <w:rsid w:val="009E44D3"/>
    <w:rsid w:val="009E4FE1"/>
    <w:rsid w:val="009E7C63"/>
    <w:rsid w:val="009F0770"/>
    <w:rsid w:val="009F528E"/>
    <w:rsid w:val="009F7977"/>
    <w:rsid w:val="00A04BEB"/>
    <w:rsid w:val="00A0576D"/>
    <w:rsid w:val="00A1697D"/>
    <w:rsid w:val="00A220FE"/>
    <w:rsid w:val="00A264B6"/>
    <w:rsid w:val="00A2726C"/>
    <w:rsid w:val="00A30EF2"/>
    <w:rsid w:val="00A312D6"/>
    <w:rsid w:val="00A3562F"/>
    <w:rsid w:val="00A406C4"/>
    <w:rsid w:val="00A41DFC"/>
    <w:rsid w:val="00A44B18"/>
    <w:rsid w:val="00A534B4"/>
    <w:rsid w:val="00A541E5"/>
    <w:rsid w:val="00A554FE"/>
    <w:rsid w:val="00A57349"/>
    <w:rsid w:val="00A61A3F"/>
    <w:rsid w:val="00A63966"/>
    <w:rsid w:val="00A656FF"/>
    <w:rsid w:val="00A65C76"/>
    <w:rsid w:val="00A65EF4"/>
    <w:rsid w:val="00A72F6F"/>
    <w:rsid w:val="00A74307"/>
    <w:rsid w:val="00A77C5B"/>
    <w:rsid w:val="00A8653C"/>
    <w:rsid w:val="00A86FE5"/>
    <w:rsid w:val="00A87923"/>
    <w:rsid w:val="00A87E2A"/>
    <w:rsid w:val="00A9320D"/>
    <w:rsid w:val="00A942F4"/>
    <w:rsid w:val="00A96D91"/>
    <w:rsid w:val="00AA3238"/>
    <w:rsid w:val="00AA43FC"/>
    <w:rsid w:val="00AA5A6C"/>
    <w:rsid w:val="00AA6F6E"/>
    <w:rsid w:val="00AA7309"/>
    <w:rsid w:val="00AB0635"/>
    <w:rsid w:val="00AB2FBA"/>
    <w:rsid w:val="00AB3E2D"/>
    <w:rsid w:val="00AB55AB"/>
    <w:rsid w:val="00AB74BE"/>
    <w:rsid w:val="00AC1297"/>
    <w:rsid w:val="00AC5B36"/>
    <w:rsid w:val="00AC5EC9"/>
    <w:rsid w:val="00AF14E0"/>
    <w:rsid w:val="00AF44C0"/>
    <w:rsid w:val="00AF5B69"/>
    <w:rsid w:val="00AF5FC0"/>
    <w:rsid w:val="00B0019C"/>
    <w:rsid w:val="00B00E52"/>
    <w:rsid w:val="00B00F71"/>
    <w:rsid w:val="00B01989"/>
    <w:rsid w:val="00B01FA7"/>
    <w:rsid w:val="00B02800"/>
    <w:rsid w:val="00B109EB"/>
    <w:rsid w:val="00B12D2D"/>
    <w:rsid w:val="00B20430"/>
    <w:rsid w:val="00B2176B"/>
    <w:rsid w:val="00B21C50"/>
    <w:rsid w:val="00B2350A"/>
    <w:rsid w:val="00B26BCE"/>
    <w:rsid w:val="00B33D60"/>
    <w:rsid w:val="00B367B3"/>
    <w:rsid w:val="00B42723"/>
    <w:rsid w:val="00B42DC2"/>
    <w:rsid w:val="00B450EE"/>
    <w:rsid w:val="00B52C3B"/>
    <w:rsid w:val="00B54A7D"/>
    <w:rsid w:val="00B57414"/>
    <w:rsid w:val="00B61E82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1BF3"/>
    <w:rsid w:val="00BA352D"/>
    <w:rsid w:val="00BA6205"/>
    <w:rsid w:val="00BA74B1"/>
    <w:rsid w:val="00BB3508"/>
    <w:rsid w:val="00BB62C1"/>
    <w:rsid w:val="00BC0842"/>
    <w:rsid w:val="00BC6A26"/>
    <w:rsid w:val="00BD0A3E"/>
    <w:rsid w:val="00BD3D8E"/>
    <w:rsid w:val="00BD7CFA"/>
    <w:rsid w:val="00BE5E61"/>
    <w:rsid w:val="00BE5EA0"/>
    <w:rsid w:val="00BE62A3"/>
    <w:rsid w:val="00BE681D"/>
    <w:rsid w:val="00BF22C0"/>
    <w:rsid w:val="00BF78E1"/>
    <w:rsid w:val="00C107A7"/>
    <w:rsid w:val="00C132B9"/>
    <w:rsid w:val="00C14D9F"/>
    <w:rsid w:val="00C158DC"/>
    <w:rsid w:val="00C20EAC"/>
    <w:rsid w:val="00C22FAA"/>
    <w:rsid w:val="00C232EE"/>
    <w:rsid w:val="00C26A9D"/>
    <w:rsid w:val="00C26C64"/>
    <w:rsid w:val="00C2772B"/>
    <w:rsid w:val="00C3028E"/>
    <w:rsid w:val="00C355F2"/>
    <w:rsid w:val="00C356C5"/>
    <w:rsid w:val="00C35B35"/>
    <w:rsid w:val="00C36E52"/>
    <w:rsid w:val="00C36F38"/>
    <w:rsid w:val="00C36F53"/>
    <w:rsid w:val="00C37281"/>
    <w:rsid w:val="00C424F4"/>
    <w:rsid w:val="00C44688"/>
    <w:rsid w:val="00C44934"/>
    <w:rsid w:val="00C52405"/>
    <w:rsid w:val="00C52E65"/>
    <w:rsid w:val="00C53570"/>
    <w:rsid w:val="00C5583A"/>
    <w:rsid w:val="00C639A9"/>
    <w:rsid w:val="00C63D97"/>
    <w:rsid w:val="00C64F33"/>
    <w:rsid w:val="00C65382"/>
    <w:rsid w:val="00C66621"/>
    <w:rsid w:val="00C70D20"/>
    <w:rsid w:val="00C71C76"/>
    <w:rsid w:val="00C73A9A"/>
    <w:rsid w:val="00C73BAF"/>
    <w:rsid w:val="00C75AD9"/>
    <w:rsid w:val="00C83AE8"/>
    <w:rsid w:val="00C84CAD"/>
    <w:rsid w:val="00C859C9"/>
    <w:rsid w:val="00C8738A"/>
    <w:rsid w:val="00C9328D"/>
    <w:rsid w:val="00C94236"/>
    <w:rsid w:val="00C94CBC"/>
    <w:rsid w:val="00CA24D2"/>
    <w:rsid w:val="00CA3FCC"/>
    <w:rsid w:val="00CA4208"/>
    <w:rsid w:val="00CB04FF"/>
    <w:rsid w:val="00CB2B24"/>
    <w:rsid w:val="00CB3D7F"/>
    <w:rsid w:val="00CB3F53"/>
    <w:rsid w:val="00CB7E8F"/>
    <w:rsid w:val="00CC12F4"/>
    <w:rsid w:val="00CC5765"/>
    <w:rsid w:val="00CD4F10"/>
    <w:rsid w:val="00CD6045"/>
    <w:rsid w:val="00CD62E8"/>
    <w:rsid w:val="00CE172A"/>
    <w:rsid w:val="00CE369E"/>
    <w:rsid w:val="00CE4EE3"/>
    <w:rsid w:val="00CE65EA"/>
    <w:rsid w:val="00CE7F6D"/>
    <w:rsid w:val="00CF070B"/>
    <w:rsid w:val="00CF33F3"/>
    <w:rsid w:val="00CF3C0D"/>
    <w:rsid w:val="00CF6A49"/>
    <w:rsid w:val="00CF7880"/>
    <w:rsid w:val="00D0064E"/>
    <w:rsid w:val="00D12239"/>
    <w:rsid w:val="00D23CF7"/>
    <w:rsid w:val="00D2450B"/>
    <w:rsid w:val="00D33AA9"/>
    <w:rsid w:val="00D33C6F"/>
    <w:rsid w:val="00D34E84"/>
    <w:rsid w:val="00D4018E"/>
    <w:rsid w:val="00D43AA5"/>
    <w:rsid w:val="00D46190"/>
    <w:rsid w:val="00D50C79"/>
    <w:rsid w:val="00D53191"/>
    <w:rsid w:val="00D5352B"/>
    <w:rsid w:val="00D538B5"/>
    <w:rsid w:val="00D545DF"/>
    <w:rsid w:val="00D546C3"/>
    <w:rsid w:val="00D5621C"/>
    <w:rsid w:val="00D628B0"/>
    <w:rsid w:val="00D62AD2"/>
    <w:rsid w:val="00D6311F"/>
    <w:rsid w:val="00D63472"/>
    <w:rsid w:val="00D66CF5"/>
    <w:rsid w:val="00D70592"/>
    <w:rsid w:val="00D71011"/>
    <w:rsid w:val="00D71331"/>
    <w:rsid w:val="00D72232"/>
    <w:rsid w:val="00D72C15"/>
    <w:rsid w:val="00D731EC"/>
    <w:rsid w:val="00D74466"/>
    <w:rsid w:val="00D76A2E"/>
    <w:rsid w:val="00D775F6"/>
    <w:rsid w:val="00D84041"/>
    <w:rsid w:val="00D86280"/>
    <w:rsid w:val="00D87537"/>
    <w:rsid w:val="00D92FCA"/>
    <w:rsid w:val="00D97597"/>
    <w:rsid w:val="00DA60CB"/>
    <w:rsid w:val="00DA764C"/>
    <w:rsid w:val="00DB07D6"/>
    <w:rsid w:val="00DB42E0"/>
    <w:rsid w:val="00DB575E"/>
    <w:rsid w:val="00DC0A45"/>
    <w:rsid w:val="00DC2AD2"/>
    <w:rsid w:val="00DC38BF"/>
    <w:rsid w:val="00DC52BC"/>
    <w:rsid w:val="00DC78BD"/>
    <w:rsid w:val="00DD01CB"/>
    <w:rsid w:val="00DD1EAE"/>
    <w:rsid w:val="00DD26E5"/>
    <w:rsid w:val="00DD3041"/>
    <w:rsid w:val="00DD5B5E"/>
    <w:rsid w:val="00DD6DA9"/>
    <w:rsid w:val="00DD7846"/>
    <w:rsid w:val="00DD7AF2"/>
    <w:rsid w:val="00DE005D"/>
    <w:rsid w:val="00DE08A8"/>
    <w:rsid w:val="00DE0F62"/>
    <w:rsid w:val="00DE42C4"/>
    <w:rsid w:val="00DE5740"/>
    <w:rsid w:val="00DE5EF6"/>
    <w:rsid w:val="00DF04E0"/>
    <w:rsid w:val="00DF4DAD"/>
    <w:rsid w:val="00DF5750"/>
    <w:rsid w:val="00E00024"/>
    <w:rsid w:val="00E00775"/>
    <w:rsid w:val="00E01F13"/>
    <w:rsid w:val="00E05087"/>
    <w:rsid w:val="00E07F25"/>
    <w:rsid w:val="00E1033B"/>
    <w:rsid w:val="00E12627"/>
    <w:rsid w:val="00E12D6F"/>
    <w:rsid w:val="00E12F6E"/>
    <w:rsid w:val="00E141C0"/>
    <w:rsid w:val="00E1589C"/>
    <w:rsid w:val="00E1729C"/>
    <w:rsid w:val="00E25FC8"/>
    <w:rsid w:val="00E3127E"/>
    <w:rsid w:val="00E3208C"/>
    <w:rsid w:val="00E34017"/>
    <w:rsid w:val="00E3543D"/>
    <w:rsid w:val="00E41842"/>
    <w:rsid w:val="00E42D71"/>
    <w:rsid w:val="00E457EA"/>
    <w:rsid w:val="00E4582F"/>
    <w:rsid w:val="00E46403"/>
    <w:rsid w:val="00E52978"/>
    <w:rsid w:val="00E543F2"/>
    <w:rsid w:val="00E62078"/>
    <w:rsid w:val="00E661BF"/>
    <w:rsid w:val="00E72124"/>
    <w:rsid w:val="00E826A6"/>
    <w:rsid w:val="00E82F1A"/>
    <w:rsid w:val="00E877EE"/>
    <w:rsid w:val="00E87CAA"/>
    <w:rsid w:val="00E91433"/>
    <w:rsid w:val="00E921B2"/>
    <w:rsid w:val="00E95494"/>
    <w:rsid w:val="00E95D97"/>
    <w:rsid w:val="00E9771B"/>
    <w:rsid w:val="00EB129C"/>
    <w:rsid w:val="00EB7940"/>
    <w:rsid w:val="00EC0874"/>
    <w:rsid w:val="00EC2264"/>
    <w:rsid w:val="00EC3FD9"/>
    <w:rsid w:val="00EC5D4C"/>
    <w:rsid w:val="00EC7105"/>
    <w:rsid w:val="00ED0CBF"/>
    <w:rsid w:val="00ED5723"/>
    <w:rsid w:val="00ED6651"/>
    <w:rsid w:val="00EE1260"/>
    <w:rsid w:val="00EE20FA"/>
    <w:rsid w:val="00EE3B85"/>
    <w:rsid w:val="00EE758A"/>
    <w:rsid w:val="00EF2295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655"/>
    <w:rsid w:val="00F707F2"/>
    <w:rsid w:val="00F7298B"/>
    <w:rsid w:val="00F738A1"/>
    <w:rsid w:val="00F7416F"/>
    <w:rsid w:val="00F749EE"/>
    <w:rsid w:val="00F77FAD"/>
    <w:rsid w:val="00F84811"/>
    <w:rsid w:val="00F87186"/>
    <w:rsid w:val="00F905CA"/>
    <w:rsid w:val="00F91D2E"/>
    <w:rsid w:val="00F928EC"/>
    <w:rsid w:val="00F970A1"/>
    <w:rsid w:val="00FA65C8"/>
    <w:rsid w:val="00FA7761"/>
    <w:rsid w:val="00FA7AB5"/>
    <w:rsid w:val="00FB31E5"/>
    <w:rsid w:val="00FB3777"/>
    <w:rsid w:val="00FC03C3"/>
    <w:rsid w:val="00FC0D99"/>
    <w:rsid w:val="00FC3CB4"/>
    <w:rsid w:val="00FC48F2"/>
    <w:rsid w:val="00FC552F"/>
    <w:rsid w:val="00FC5CB0"/>
    <w:rsid w:val="00FD5C66"/>
    <w:rsid w:val="00FD7F07"/>
    <w:rsid w:val="00FE2B6B"/>
    <w:rsid w:val="00FF5848"/>
    <w:rsid w:val="00FF5EAD"/>
    <w:rsid w:val="00FF6378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camcom.it/sites/default/files/uploads/documents/StudiRicerche/congiuntura/BollettinoSecondoTrimestre2022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n.camcom.it/sites/default/files/uploads/documents/StudiRicerche/congiuntura/Slides%20CongiunturaIItrimestre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n.camcom.it/sites/default/files/uploads/documents/StudiRicerche/congiuntura/ReportCongiunturaPrimoTrimestre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D88F-71F1-43B7-9D35-170A8984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4210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2022-09-28T09:49:00Z</cp:lastPrinted>
  <dcterms:created xsi:type="dcterms:W3CDTF">2022-09-28T13:06:00Z</dcterms:created>
  <dcterms:modified xsi:type="dcterms:W3CDTF">2022-09-28T13:06:00Z</dcterms:modified>
</cp:coreProperties>
</file>