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A52" w:rsidRPr="00B676F9" w:rsidRDefault="00CD6045" w:rsidP="00B676F9">
      <w:pPr>
        <w:ind w:left="1276"/>
        <w:rPr>
          <w:b/>
          <w:sz w:val="28"/>
          <w:szCs w:val="28"/>
        </w:rPr>
      </w:pPr>
      <w:r w:rsidRPr="00514987">
        <w:rPr>
          <w:rFonts w:ascii="Amazing Grotesk" w:hAnsi="Amazing Grotesk"/>
          <w:b/>
          <w:color w:val="B11914"/>
          <w:sz w:val="28"/>
          <w:szCs w:val="28"/>
        </w:rPr>
        <w:t>COMUNICATO STAMPA</w:t>
      </w:r>
      <w:bookmarkStart w:id="0" w:name="_GoBack"/>
      <w:bookmarkEnd w:id="0"/>
    </w:p>
    <w:p w:rsidR="00D5352B" w:rsidRDefault="00D5352B" w:rsidP="00DD1EAE">
      <w:pPr>
        <w:ind w:left="1276"/>
      </w:pPr>
    </w:p>
    <w:p w:rsidR="00F62E9C" w:rsidRDefault="00F62E9C" w:rsidP="00DD1EAE">
      <w:pPr>
        <w:ind w:left="1276"/>
      </w:pPr>
    </w:p>
    <w:p w:rsidR="00B12D2D" w:rsidRDefault="00DF42CB" w:rsidP="00DD1EAE">
      <w:pPr>
        <w:ind w:left="1276"/>
      </w:pPr>
      <w:r>
        <w:t>I DATI DELL</w:t>
      </w:r>
      <w:r w:rsidR="00417221">
        <w:t>O</w:t>
      </w:r>
      <w:r>
        <w:t xml:space="preserve"> SCORS</w:t>
      </w:r>
      <w:r w:rsidR="00417221">
        <w:t>O</w:t>
      </w:r>
      <w:r>
        <w:t xml:space="preserve"> ANN</w:t>
      </w:r>
      <w:r w:rsidR="00417221">
        <w:t>O</w:t>
      </w:r>
    </w:p>
    <w:p w:rsidR="00B33D60" w:rsidRPr="00514987" w:rsidRDefault="00B33D60" w:rsidP="00DD1EAE">
      <w:pPr>
        <w:ind w:left="1276"/>
      </w:pPr>
    </w:p>
    <w:p w:rsidR="00AF44C0" w:rsidRPr="00AF44C0" w:rsidRDefault="00DF42CB" w:rsidP="00AF44C0">
      <w:pPr>
        <w:ind w:left="1276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SOSTANZIALMENTE STABILI LE PROCEDURE FALLIMENTARI</w:t>
      </w:r>
    </w:p>
    <w:p w:rsidR="00F62E9C" w:rsidRPr="00E81EF5" w:rsidRDefault="00F62E9C" w:rsidP="001E6740">
      <w:pPr>
        <w:ind w:left="1276"/>
        <w:rPr>
          <w:b/>
        </w:rPr>
      </w:pPr>
    </w:p>
    <w:p w:rsidR="00603F83" w:rsidRPr="00F62E9C" w:rsidRDefault="00DF42CB" w:rsidP="00603F83">
      <w:pPr>
        <w:ind w:left="1276" w:hanging="11"/>
      </w:pPr>
      <w:r>
        <w:t xml:space="preserve">L’EDILIZIA SI CONFERMA IL SETTORE PIÙ COLPITO </w:t>
      </w:r>
    </w:p>
    <w:p w:rsidR="006627F1" w:rsidRPr="00E81EF5" w:rsidRDefault="006627F1" w:rsidP="00B20430">
      <w:pPr>
        <w:ind w:left="1276"/>
        <w:rPr>
          <w:caps/>
          <w:sz w:val="18"/>
          <w:szCs w:val="18"/>
        </w:rPr>
      </w:pPr>
    </w:p>
    <w:p w:rsidR="001156B4" w:rsidRDefault="00D12FF1" w:rsidP="00E05087">
      <w:pPr>
        <w:ind w:left="1276"/>
      </w:pPr>
      <w:r>
        <w:t>S</w:t>
      </w:r>
      <w:r w:rsidRPr="001156B4">
        <w:t xml:space="preserve">ono </w:t>
      </w:r>
      <w:r w:rsidRPr="002A5B84">
        <w:rPr>
          <w:b/>
        </w:rPr>
        <w:t xml:space="preserve">54 </w:t>
      </w:r>
      <w:r w:rsidR="001156B4" w:rsidRPr="00DF42CB">
        <w:t>le</w:t>
      </w:r>
      <w:r w:rsidR="001156B4" w:rsidRPr="002A5B84">
        <w:rPr>
          <w:b/>
        </w:rPr>
        <w:t xml:space="preserve"> aperture di fallimento</w:t>
      </w:r>
      <w:r w:rsidR="001156B4" w:rsidRPr="001156B4">
        <w:t xml:space="preserve"> rilevate </w:t>
      </w:r>
      <w:r>
        <w:t xml:space="preserve">nel 2021 </w:t>
      </w:r>
      <w:r w:rsidR="001156B4" w:rsidRPr="001156B4">
        <w:t xml:space="preserve">presso i tribunali di Trento e Rovereto e monitorate dall’Ufficio </w:t>
      </w:r>
      <w:r w:rsidR="002A5B84">
        <w:t>s</w:t>
      </w:r>
      <w:r w:rsidR="001156B4" w:rsidRPr="001156B4">
        <w:t xml:space="preserve">tudi e </w:t>
      </w:r>
      <w:r w:rsidR="002A5B84">
        <w:t>r</w:t>
      </w:r>
      <w:r w:rsidR="001156B4" w:rsidRPr="001156B4">
        <w:t>icerche della Camera di Commercio. Il dato è sostanzialmente in linea con quello del</w:t>
      </w:r>
      <w:r>
        <w:t xml:space="preserve">l’anno scorso (erano 56) </w:t>
      </w:r>
      <w:r w:rsidR="001156B4" w:rsidRPr="001156B4">
        <w:t xml:space="preserve">e </w:t>
      </w:r>
      <w:r>
        <w:t xml:space="preserve">conferma la </w:t>
      </w:r>
      <w:r w:rsidR="001156B4" w:rsidRPr="001156B4">
        <w:t>tendenza a</w:t>
      </w:r>
      <w:r>
        <w:t xml:space="preserve"> un</w:t>
      </w:r>
      <w:r w:rsidR="001156B4" w:rsidRPr="001156B4">
        <w:t xml:space="preserve">a progressiva riduzione del numero dei fallimenti </w:t>
      </w:r>
      <w:r>
        <w:t>a partire dal 2016</w:t>
      </w:r>
      <w:r w:rsidR="00FA3468">
        <w:t>,</w:t>
      </w:r>
      <w:r>
        <w:t xml:space="preserve"> quando si toccò il picco </w:t>
      </w:r>
      <w:r w:rsidR="00FA3468">
        <w:t>con</w:t>
      </w:r>
      <w:r>
        <w:t xml:space="preserve"> </w:t>
      </w:r>
      <w:r w:rsidR="00417221">
        <w:t xml:space="preserve">l’apertura di </w:t>
      </w:r>
      <w:r w:rsidR="001156B4" w:rsidRPr="001156B4">
        <w:t>145 procedure</w:t>
      </w:r>
      <w:r w:rsidR="00FA3468">
        <w:t xml:space="preserve"> concorsuali</w:t>
      </w:r>
      <w:r w:rsidR="001156B4" w:rsidRPr="001156B4">
        <w:t xml:space="preserve">. </w:t>
      </w:r>
    </w:p>
    <w:p w:rsidR="001156B4" w:rsidRDefault="001156B4" w:rsidP="00E05087">
      <w:pPr>
        <w:ind w:left="1276"/>
      </w:pPr>
    </w:p>
    <w:p w:rsidR="00E81EF5" w:rsidRDefault="00556E61" w:rsidP="00DF42CB">
      <w:pPr>
        <w:ind w:left="1276"/>
        <w:rPr>
          <w:noProof/>
        </w:rPr>
      </w:pPr>
      <w:r w:rsidRPr="000703FD">
        <w:rPr>
          <w:noProof/>
          <w:sz w:val="18"/>
          <w:szCs w:val="18"/>
        </w:rPr>
        <w:drawing>
          <wp:inline distT="0" distB="0" distL="0" distR="0" wp14:anchorId="364AEEDA" wp14:editId="324E6AFF">
            <wp:extent cx="5105873" cy="2542540"/>
            <wp:effectExtent l="0" t="0" r="0" b="10160"/>
            <wp:docPr id="1" name="Gra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E81EF5" w:rsidRPr="00E81EF5" w:rsidRDefault="00E81EF5" w:rsidP="000703FD">
      <w:pPr>
        <w:spacing w:before="120"/>
        <w:ind w:left="1276"/>
        <w:jc w:val="both"/>
        <w:rPr>
          <w:sz w:val="18"/>
          <w:szCs w:val="18"/>
        </w:rPr>
      </w:pPr>
      <w:r w:rsidRPr="00E81EF5">
        <w:rPr>
          <w:sz w:val="18"/>
          <w:szCs w:val="18"/>
        </w:rPr>
        <w:t xml:space="preserve">Fonte: </w:t>
      </w:r>
      <w:r w:rsidR="001E2912">
        <w:rPr>
          <w:sz w:val="18"/>
          <w:szCs w:val="18"/>
        </w:rPr>
        <w:t>Tribunale di Trento e Rovereto</w:t>
      </w:r>
      <w:r w:rsidR="00556E61">
        <w:rPr>
          <w:sz w:val="18"/>
          <w:szCs w:val="18"/>
        </w:rPr>
        <w:t>. Elaborazione a cura dell’</w:t>
      </w:r>
      <w:r w:rsidRPr="00E81EF5">
        <w:rPr>
          <w:sz w:val="18"/>
          <w:szCs w:val="18"/>
        </w:rPr>
        <w:t>Ufficio studi e ricerche della Camera di Commercio di Trento</w:t>
      </w:r>
    </w:p>
    <w:p w:rsidR="00E81EF5" w:rsidRPr="00E81EF5" w:rsidRDefault="00E81EF5" w:rsidP="00DF42CB">
      <w:pPr>
        <w:ind w:left="1276"/>
        <w:rPr>
          <w:sz w:val="18"/>
          <w:szCs w:val="18"/>
        </w:rPr>
      </w:pPr>
    </w:p>
    <w:p w:rsidR="001156B4" w:rsidRDefault="00FA3468" w:rsidP="00DF42CB">
      <w:pPr>
        <w:ind w:left="1276"/>
      </w:pPr>
      <w:r>
        <w:t xml:space="preserve">Se si considera la </w:t>
      </w:r>
      <w:r w:rsidRPr="00FA3468">
        <w:rPr>
          <w:b/>
        </w:rPr>
        <w:t>forma giuridica</w:t>
      </w:r>
      <w:r>
        <w:t xml:space="preserve"> delle imprese che hanno cessato la loro attività, </w:t>
      </w:r>
      <w:r w:rsidR="00E81EF5">
        <w:t>emerge</w:t>
      </w:r>
      <w:r>
        <w:t xml:space="preserve"> che </w:t>
      </w:r>
      <w:r w:rsidR="001156B4" w:rsidRPr="001156B4">
        <w:t>4</w:t>
      </w:r>
      <w:r w:rsidR="002A5B84">
        <w:t xml:space="preserve"> sono</w:t>
      </w:r>
      <w:r w:rsidR="001156B4" w:rsidRPr="001156B4">
        <w:t xml:space="preserve"> ditte individuali, 14 società di persone</w:t>
      </w:r>
      <w:r w:rsidR="002A5B84">
        <w:t xml:space="preserve"> e</w:t>
      </w:r>
      <w:r w:rsidR="001156B4" w:rsidRPr="001156B4">
        <w:t xml:space="preserve"> 36 società di capitale. </w:t>
      </w:r>
    </w:p>
    <w:p w:rsidR="001156B4" w:rsidRPr="00E81EF5" w:rsidRDefault="001156B4" w:rsidP="00E05087">
      <w:pPr>
        <w:ind w:left="1276"/>
        <w:rPr>
          <w:sz w:val="18"/>
          <w:szCs w:val="18"/>
        </w:rPr>
      </w:pPr>
    </w:p>
    <w:p w:rsidR="001156B4" w:rsidRDefault="001156B4" w:rsidP="00E05087">
      <w:pPr>
        <w:ind w:left="1276"/>
      </w:pPr>
      <w:r w:rsidRPr="001156B4">
        <w:t xml:space="preserve">Per quanto attiene alla posizione geografica, i fallimenti hanno interessato imprese con </w:t>
      </w:r>
      <w:r w:rsidRPr="002A5B84">
        <w:rPr>
          <w:b/>
        </w:rPr>
        <w:t>sede</w:t>
      </w:r>
      <w:r w:rsidRPr="001156B4">
        <w:t xml:space="preserve"> in 25 comuni della provincia. Un’ampia maggioranza di </w:t>
      </w:r>
      <w:r w:rsidR="003829E4">
        <w:t xml:space="preserve">queste </w:t>
      </w:r>
      <w:r w:rsidRPr="001156B4">
        <w:t>unità è localizzata presso i comuni di Trento (16) e Rovereto (8)</w:t>
      </w:r>
      <w:r w:rsidR="002A5B84">
        <w:t>,</w:t>
      </w:r>
      <w:r w:rsidRPr="001156B4">
        <w:t xml:space="preserve"> che raggruppano assieme oltre il 44% delle procedure, seguono Mezzolombardo (4), Mori (2)</w:t>
      </w:r>
      <w:r w:rsidR="002A5B84">
        <w:t>,</w:t>
      </w:r>
      <w:r w:rsidRPr="001156B4">
        <w:t xml:space="preserve"> Predazzo (2) e Villa Lagarina (2). Gli altri comuni coinvolti sono stati interessati da un solo </w:t>
      </w:r>
      <w:r w:rsidR="00FA3468">
        <w:t>caso</w:t>
      </w:r>
      <w:r w:rsidR="003829E4">
        <w:t xml:space="preserve"> ciascuno</w:t>
      </w:r>
      <w:r w:rsidRPr="001156B4">
        <w:t xml:space="preserve">. </w:t>
      </w:r>
    </w:p>
    <w:p w:rsidR="001156B4" w:rsidRDefault="002A5B84" w:rsidP="00E05087">
      <w:pPr>
        <w:ind w:left="1276"/>
      </w:pPr>
      <w:r>
        <w:lastRenderedPageBreak/>
        <w:t>I dati riferiti ai singoli</w:t>
      </w:r>
      <w:r w:rsidR="001156B4" w:rsidRPr="001156B4">
        <w:t xml:space="preserve"> </w:t>
      </w:r>
      <w:r w:rsidR="001156B4" w:rsidRPr="002A5B84">
        <w:rPr>
          <w:b/>
        </w:rPr>
        <w:t>settori economici</w:t>
      </w:r>
      <w:r w:rsidR="001156B4" w:rsidRPr="001156B4">
        <w:t xml:space="preserve"> </w:t>
      </w:r>
      <w:r w:rsidR="005809A9">
        <w:t xml:space="preserve">confermano che </w:t>
      </w:r>
      <w:r w:rsidR="001156B4" w:rsidRPr="001156B4">
        <w:t xml:space="preserve">l’edilizia rappresenta, anche nel 2021, il comparto </w:t>
      </w:r>
      <w:r w:rsidR="005809A9">
        <w:t>più colpito</w:t>
      </w:r>
      <w:r w:rsidR="001156B4" w:rsidRPr="001156B4">
        <w:t xml:space="preserve"> dai fallimenti anche se in misura minore, in termini assoluti, rispetto al periodo 2013-2019</w:t>
      </w:r>
      <w:r w:rsidR="005809A9">
        <w:t>. L</w:t>
      </w:r>
      <w:r w:rsidR="001156B4" w:rsidRPr="001156B4">
        <w:t>e imprese di costruzione, gli impiantisti e le società immobiliari dichiarate fallite sono state 25, pari al 46% del totale delle procedure concorsuali considerate. Seguono il commercio con 9 fallimenti, “bar-alberghi-ristoranti” con 7 e i trasporti con 5. Altri settori, come il manifatturiero (2 fallimenti), i servizi alle imprese (4), l’estrattivo e i servizi alla persona (1)</w:t>
      </w:r>
      <w:r w:rsidR="005809A9">
        <w:t xml:space="preserve">, sono stati interessati in forma </w:t>
      </w:r>
      <w:r w:rsidR="00FA3468">
        <w:t>meno severa</w:t>
      </w:r>
      <w:r w:rsidR="001156B4" w:rsidRPr="001156B4">
        <w:t xml:space="preserve">. </w:t>
      </w:r>
    </w:p>
    <w:p w:rsidR="00E05087" w:rsidRDefault="001156B4" w:rsidP="00E05087">
      <w:pPr>
        <w:ind w:left="1276"/>
      </w:pPr>
      <w:r w:rsidRPr="001156B4">
        <w:t xml:space="preserve">Rispetto agli anni precedenti si riscontra quindi un leggero aumento, in termini relativi, dei fallimenti che hanno </w:t>
      </w:r>
      <w:r w:rsidR="00FA3468">
        <w:t>riguardato</w:t>
      </w:r>
      <w:r w:rsidRPr="001156B4">
        <w:t xml:space="preserve"> il </w:t>
      </w:r>
      <w:r w:rsidR="00FA3468">
        <w:t>settore</w:t>
      </w:r>
      <w:r w:rsidRPr="001156B4">
        <w:t xml:space="preserve"> ricettivo-ristorazione-bar e i trasporti, mentre diminuiscono proporzionalmente quelli riscontrati nel comparto manifatturiero.</w:t>
      </w:r>
    </w:p>
    <w:p w:rsidR="005809A9" w:rsidRDefault="005809A9" w:rsidP="00E05087">
      <w:pPr>
        <w:ind w:left="1276"/>
      </w:pPr>
    </w:p>
    <w:p w:rsidR="00E81EF5" w:rsidRDefault="000703FD" w:rsidP="00E05087">
      <w:pPr>
        <w:ind w:left="1276"/>
      </w:pPr>
      <w:r>
        <w:rPr>
          <w:noProof/>
        </w:rPr>
        <w:drawing>
          <wp:inline distT="0" distB="0" distL="0" distR="0" wp14:anchorId="3F269607" wp14:editId="25F322D8">
            <wp:extent cx="5105873" cy="2776855"/>
            <wp:effectExtent l="0" t="0" r="0" b="4445"/>
            <wp:docPr id="7" name="Gra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81EF5" w:rsidRPr="00E81EF5" w:rsidRDefault="00E81EF5" w:rsidP="000703FD">
      <w:pPr>
        <w:spacing w:before="120"/>
        <w:ind w:left="1276"/>
        <w:rPr>
          <w:sz w:val="18"/>
          <w:szCs w:val="18"/>
        </w:rPr>
      </w:pPr>
      <w:r w:rsidRPr="00E81EF5">
        <w:rPr>
          <w:sz w:val="18"/>
          <w:szCs w:val="18"/>
        </w:rPr>
        <w:t xml:space="preserve">Fonte: </w:t>
      </w:r>
      <w:r w:rsidR="001E2912">
        <w:rPr>
          <w:sz w:val="18"/>
          <w:szCs w:val="18"/>
        </w:rPr>
        <w:t>Tribunale di Trento e Rovereto</w:t>
      </w:r>
      <w:r w:rsidR="009F0374">
        <w:rPr>
          <w:sz w:val="18"/>
          <w:szCs w:val="18"/>
        </w:rPr>
        <w:t>. Elaborazione a cura dell’Ufficio S</w:t>
      </w:r>
      <w:r w:rsidRPr="00E81EF5">
        <w:rPr>
          <w:sz w:val="18"/>
          <w:szCs w:val="18"/>
        </w:rPr>
        <w:t>tudi e ricerche della Camera di Commercio di Trento</w:t>
      </w:r>
      <w:r w:rsidR="009F0374">
        <w:rPr>
          <w:sz w:val="18"/>
          <w:szCs w:val="18"/>
        </w:rPr>
        <w:t>.</w:t>
      </w:r>
    </w:p>
    <w:p w:rsidR="00E81EF5" w:rsidRDefault="00E81EF5" w:rsidP="00E05087">
      <w:pPr>
        <w:ind w:left="1276"/>
      </w:pPr>
    </w:p>
    <w:p w:rsidR="00812B1B" w:rsidRPr="00812B1B" w:rsidRDefault="00812B1B" w:rsidP="00812B1B">
      <w:pPr>
        <w:ind w:left="1276"/>
      </w:pPr>
      <w:r>
        <w:t>“</w:t>
      </w:r>
      <w:r w:rsidRPr="00812B1B">
        <w:t>Ormai</w:t>
      </w:r>
      <w:r>
        <w:t xml:space="preserve"> – spiega </w:t>
      </w:r>
      <w:r w:rsidRPr="00812B1B">
        <w:rPr>
          <w:b/>
        </w:rPr>
        <w:t>Giovanni Bort</w:t>
      </w:r>
      <w:r>
        <w:t>, Presidente della Camera di Commercio di Trento –</w:t>
      </w:r>
      <w:r w:rsidRPr="00812B1B">
        <w:t xml:space="preserve"> sono trascorsi quasi due anni dall’</w:t>
      </w:r>
      <w:r w:rsidR="00E81EF5">
        <w:t>inizio</w:t>
      </w:r>
      <w:r w:rsidRPr="00812B1B">
        <w:t xml:space="preserve"> dell’emergenza Covid-19 e la sostanziale stabilità nel numero delle procedure concorsuali aperte può essere considerato </w:t>
      </w:r>
      <w:r>
        <w:t>‘reale’</w:t>
      </w:r>
      <w:r w:rsidRPr="00812B1B">
        <w:t xml:space="preserve"> e non più </w:t>
      </w:r>
      <w:r>
        <w:t>condizionato dal</w:t>
      </w:r>
      <w:r w:rsidRPr="00812B1B">
        <w:t xml:space="preserve"> rallentamento del sistema giudiziario a causa della pandemia. Allo stesso modo,</w:t>
      </w:r>
      <w:r>
        <w:t xml:space="preserve"> si può affermare che</w:t>
      </w:r>
      <w:r w:rsidRPr="00812B1B">
        <w:t xml:space="preserve"> il sostanziale ritardo tra le situazioni di crisi e l’emergere delle aperture fallimentari </w:t>
      </w:r>
      <w:r>
        <w:t>sia</w:t>
      </w:r>
      <w:r w:rsidRPr="00812B1B">
        <w:t xml:space="preserve"> già stato in parte colmato. È quindi </w:t>
      </w:r>
      <w:r>
        <w:t>ipotizzabile</w:t>
      </w:r>
      <w:r w:rsidRPr="00812B1B">
        <w:t xml:space="preserve"> che le misure di sostegno, promosse a livello comunitario, nazionale e locale, abbiamo prodotto gli effetti sperati e siano riuscite a limitare sensibilmente i danni dell’emergenza sanitaria sul sistema economico provinciale</w:t>
      </w:r>
      <w:r w:rsidR="007268DD">
        <w:t>, ma s</w:t>
      </w:r>
      <w:r w:rsidR="004C6AFC">
        <w:t>arà il tempo che ci permetterà di constatare se questi</w:t>
      </w:r>
      <w:r w:rsidRPr="00812B1B">
        <w:t xml:space="preserve"> supporti </w:t>
      </w:r>
      <w:r w:rsidR="00D57AEE">
        <w:t xml:space="preserve">non </w:t>
      </w:r>
      <w:r w:rsidR="004C6AFC">
        <w:t>avranno</w:t>
      </w:r>
      <w:r w:rsidRPr="00812B1B">
        <w:t xml:space="preserve"> </w:t>
      </w:r>
      <w:r w:rsidR="00D57AEE">
        <w:t xml:space="preserve">invece </w:t>
      </w:r>
      <w:r w:rsidRPr="00812B1B">
        <w:t xml:space="preserve">solo rinviato crisi aziendali conclamate e irreversibili, che </w:t>
      </w:r>
      <w:r>
        <w:t xml:space="preserve">in un prossimo futuro </w:t>
      </w:r>
      <w:r w:rsidRPr="00812B1B">
        <w:t xml:space="preserve">potrebbero tradursi in un </w:t>
      </w:r>
      <w:r w:rsidR="004C6AFC">
        <w:t xml:space="preserve">nuovo </w:t>
      </w:r>
      <w:r w:rsidRPr="00812B1B">
        <w:t>aumento de</w:t>
      </w:r>
      <w:r w:rsidR="007268DD">
        <w:t>lle procedure</w:t>
      </w:r>
      <w:r w:rsidRPr="00812B1B">
        <w:t xml:space="preserve"> falliment</w:t>
      </w:r>
      <w:r w:rsidR="007268DD">
        <w:t>ari</w:t>
      </w:r>
      <w:r w:rsidR="00E351C3">
        <w:t>”</w:t>
      </w:r>
      <w:r w:rsidRPr="00812B1B">
        <w:t xml:space="preserve">. </w:t>
      </w:r>
    </w:p>
    <w:p w:rsidR="005809A9" w:rsidRDefault="005809A9" w:rsidP="00E05087">
      <w:pPr>
        <w:ind w:left="1276"/>
      </w:pPr>
    </w:p>
    <w:p w:rsidR="00EC7105" w:rsidRDefault="00EC7105" w:rsidP="00514987">
      <w:pPr>
        <w:ind w:left="1276"/>
      </w:pPr>
      <w:r>
        <w:t xml:space="preserve">Trento, </w:t>
      </w:r>
      <w:r w:rsidR="001156B4">
        <w:t>1</w:t>
      </w:r>
      <w:r w:rsidR="00E81EF5">
        <w:t>2</w:t>
      </w:r>
      <w:r w:rsidR="00E05087">
        <w:t xml:space="preserve"> gennaio 202</w:t>
      </w:r>
      <w:r w:rsidR="001156B4">
        <w:t>2</w:t>
      </w:r>
    </w:p>
    <w:sectPr w:rsidR="00EC7105" w:rsidSect="009F0374">
      <w:footerReference w:type="default" r:id="rId10"/>
      <w:headerReference w:type="first" r:id="rId11"/>
      <w:footerReference w:type="first" r:id="rId12"/>
      <w:pgSz w:w="11906" w:h="16838" w:code="9"/>
      <w:pgMar w:top="1398" w:right="1304" w:bottom="1701" w:left="1304" w:header="567" w:footer="47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58C5" w:rsidRDefault="003E58C5">
      <w:r>
        <w:separator/>
      </w:r>
    </w:p>
  </w:endnote>
  <w:endnote w:type="continuationSeparator" w:id="0">
    <w:p w:rsidR="003E58C5" w:rsidRDefault="003E5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zing Grotesk">
    <w:panose1 w:val="02000803050000020004"/>
    <w:charset w:val="00"/>
    <w:family w:val="auto"/>
    <w:pitch w:val="variable"/>
    <w:sig w:usb0="A00002AF" w:usb1="5000004A" w:usb2="00000000" w:usb3="00000000" w:csb0="000000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58C5" w:rsidRPr="007C29A7" w:rsidRDefault="003E58C5" w:rsidP="00582DF9">
    <w:pPr>
      <w:pStyle w:val="Pidipagina"/>
      <w:tabs>
        <w:tab w:val="clear" w:pos="4819"/>
        <w:tab w:val="clear" w:pos="9638"/>
        <w:tab w:val="left" w:pos="1276"/>
        <w:tab w:val="left" w:pos="6870"/>
      </w:tabs>
      <w:ind w:left="1276"/>
      <w:rPr>
        <w:rFonts w:ascii="Amazing Grotesk" w:hAnsi="Amazing Grotesk"/>
        <w:color w:val="9D1914"/>
        <w:sz w:val="14"/>
        <w:szCs w:val="14"/>
      </w:rPr>
    </w:pPr>
    <w:r w:rsidRPr="007C29A7">
      <w:rPr>
        <w:rFonts w:ascii="Amazing Grotesk" w:hAnsi="Amazing Grotesk"/>
        <w:color w:val="9D1914"/>
        <w:sz w:val="14"/>
        <w:szCs w:val="14"/>
      </w:rPr>
      <w:t>Per informazioni:</w:t>
    </w:r>
  </w:p>
  <w:p w:rsidR="003E58C5" w:rsidRPr="00FA7AB5" w:rsidRDefault="003E58C5" w:rsidP="00FA7AB5">
    <w:pPr>
      <w:pStyle w:val="Pidipagina"/>
      <w:ind w:left="1276"/>
      <w:rPr>
        <w:rFonts w:ascii="Amazing Grotesk" w:hAnsi="Amazing Grotesk"/>
        <w:color w:val="9D1914"/>
        <w:sz w:val="14"/>
        <w:szCs w:val="14"/>
      </w:rPr>
    </w:pPr>
    <w:r w:rsidRPr="00FA7AB5">
      <w:rPr>
        <w:rFonts w:ascii="Amazing Grotesk" w:hAnsi="Amazing Grotesk"/>
        <w:color w:val="9D1914"/>
        <w:sz w:val="14"/>
        <w:szCs w:val="14"/>
      </w:rPr>
      <w:t>Comunicazione e informazione</w:t>
    </w:r>
  </w:p>
  <w:p w:rsidR="003E58C5" w:rsidRPr="003F1A52" w:rsidRDefault="003E58C5" w:rsidP="00582DF9">
    <w:pPr>
      <w:pStyle w:val="Pidipagina"/>
      <w:tabs>
        <w:tab w:val="clear" w:pos="4819"/>
        <w:tab w:val="clear" w:pos="9638"/>
        <w:tab w:val="left" w:pos="1276"/>
        <w:tab w:val="left" w:pos="6870"/>
      </w:tabs>
      <w:ind w:left="1418" w:hanging="142"/>
      <w:rPr>
        <w:rFonts w:ascii="Amazing Grotesk" w:hAnsi="Amazing Grotesk"/>
        <w:color w:val="9D1914"/>
        <w:sz w:val="14"/>
        <w:szCs w:val="14"/>
      </w:rPr>
    </w:pPr>
    <w:r w:rsidRPr="003F1A52">
      <w:rPr>
        <w:rFonts w:ascii="Amazing Grotesk" w:hAnsi="Amazing Grotesk"/>
        <w:color w:val="9D1914"/>
        <w:sz w:val="14"/>
        <w:szCs w:val="14"/>
      </w:rPr>
      <w:t>Camera di Commercio I.A.A.</w:t>
    </w:r>
  </w:p>
  <w:p w:rsidR="003E58C5" w:rsidRDefault="003E58C5" w:rsidP="00582DF9">
    <w:pPr>
      <w:pStyle w:val="Pidipagina"/>
      <w:tabs>
        <w:tab w:val="clear" w:pos="4819"/>
        <w:tab w:val="clear" w:pos="9638"/>
        <w:tab w:val="left" w:pos="1276"/>
        <w:tab w:val="left" w:pos="6870"/>
      </w:tabs>
      <w:ind w:left="1418" w:hanging="142"/>
      <w:rPr>
        <w:rFonts w:ascii="Amazing Grotesk" w:hAnsi="Amazing Grotesk"/>
        <w:color w:val="9D1914"/>
        <w:sz w:val="14"/>
        <w:szCs w:val="14"/>
      </w:rPr>
    </w:pPr>
    <w:r w:rsidRPr="003F1A52">
      <w:rPr>
        <w:rFonts w:ascii="Amazing Grotesk" w:hAnsi="Amazing Grotesk"/>
        <w:color w:val="9D1914"/>
        <w:sz w:val="14"/>
        <w:szCs w:val="14"/>
      </w:rPr>
      <w:t xml:space="preserve">Tel. +39 0461 887 269 </w:t>
    </w:r>
  </w:p>
  <w:p w:rsidR="003E58C5" w:rsidRDefault="003E58C5" w:rsidP="00582DF9">
    <w:pPr>
      <w:pStyle w:val="Pidipagina"/>
      <w:tabs>
        <w:tab w:val="clear" w:pos="4819"/>
        <w:tab w:val="clear" w:pos="9638"/>
        <w:tab w:val="left" w:pos="1276"/>
        <w:tab w:val="left" w:pos="6870"/>
      </w:tabs>
      <w:ind w:left="1418" w:hanging="142"/>
      <w:rPr>
        <w:rFonts w:ascii="Amazing Grotesk" w:hAnsi="Amazing Grotesk"/>
        <w:color w:val="9D1914"/>
        <w:sz w:val="14"/>
        <w:szCs w:val="14"/>
      </w:rPr>
    </w:pPr>
    <w:r>
      <w:rPr>
        <w:rFonts w:ascii="Amazing Grotesk" w:hAnsi="Amazing Grotesk"/>
        <w:color w:val="9D1914"/>
        <w:sz w:val="14"/>
        <w:szCs w:val="14"/>
      </w:rPr>
      <w:t>Tel. +39 0461 887 270</w:t>
    </w:r>
  </w:p>
  <w:p w:rsidR="003E58C5" w:rsidRPr="003F1A52" w:rsidRDefault="003E58C5" w:rsidP="00582DF9">
    <w:pPr>
      <w:pStyle w:val="Pidipagina"/>
      <w:tabs>
        <w:tab w:val="clear" w:pos="4819"/>
        <w:tab w:val="clear" w:pos="9638"/>
        <w:tab w:val="left" w:pos="1276"/>
        <w:tab w:val="left" w:pos="6870"/>
      </w:tabs>
      <w:ind w:left="1418" w:hanging="142"/>
      <w:rPr>
        <w:rFonts w:ascii="Amazing Grotesk" w:hAnsi="Amazing Grotesk"/>
        <w:color w:val="9D1914"/>
        <w:sz w:val="14"/>
        <w:szCs w:val="14"/>
      </w:rPr>
    </w:pPr>
    <w:r w:rsidRPr="003F1A52">
      <w:rPr>
        <w:rFonts w:ascii="Amazing Grotesk" w:hAnsi="Amazing Grotesk"/>
        <w:color w:val="9D1914"/>
        <w:sz w:val="14"/>
        <w:szCs w:val="14"/>
      </w:rPr>
      <w:t xml:space="preserve">e-mail: </w:t>
    </w:r>
    <w:hyperlink r:id="rId1" w:history="1">
      <w:r w:rsidRPr="00D62D3C">
        <w:rPr>
          <w:rStyle w:val="Collegamentoipertestuale"/>
          <w:rFonts w:ascii="Amazing Grotesk" w:hAnsi="Amazing Grotesk"/>
          <w:sz w:val="14"/>
          <w:szCs w:val="14"/>
        </w:rPr>
        <w:t>ufficio.stampa@tn.camcom.it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58C5" w:rsidRPr="007C29A7" w:rsidRDefault="003E58C5" w:rsidP="003F1A52">
    <w:pPr>
      <w:pStyle w:val="Pidipagina"/>
      <w:tabs>
        <w:tab w:val="clear" w:pos="4819"/>
        <w:tab w:val="clear" w:pos="9638"/>
        <w:tab w:val="left" w:pos="1276"/>
        <w:tab w:val="left" w:pos="6870"/>
      </w:tabs>
      <w:ind w:left="1276"/>
      <w:rPr>
        <w:rFonts w:ascii="Amazing Grotesk" w:hAnsi="Amazing Grotesk"/>
        <w:color w:val="9D1914"/>
        <w:sz w:val="14"/>
        <w:szCs w:val="14"/>
      </w:rPr>
    </w:pPr>
    <w:r w:rsidRPr="007C29A7">
      <w:rPr>
        <w:rFonts w:ascii="Amazing Grotesk" w:hAnsi="Amazing Grotesk"/>
        <w:color w:val="9D1914"/>
        <w:sz w:val="14"/>
        <w:szCs w:val="14"/>
      </w:rPr>
      <w:t>Per informazioni:</w:t>
    </w:r>
  </w:p>
  <w:p w:rsidR="003E58C5" w:rsidRPr="003F1A52" w:rsidRDefault="003E58C5" w:rsidP="003F1A52">
    <w:pPr>
      <w:pStyle w:val="Pidipagina"/>
      <w:tabs>
        <w:tab w:val="clear" w:pos="4819"/>
        <w:tab w:val="clear" w:pos="9638"/>
        <w:tab w:val="left" w:pos="1276"/>
        <w:tab w:val="left" w:pos="6870"/>
      </w:tabs>
      <w:ind w:left="1418" w:hanging="142"/>
      <w:rPr>
        <w:rFonts w:ascii="Amazing Grotesk" w:hAnsi="Amazing Grotesk"/>
        <w:color w:val="9D1914"/>
        <w:sz w:val="14"/>
        <w:szCs w:val="14"/>
      </w:rPr>
    </w:pPr>
    <w:r>
      <w:rPr>
        <w:rFonts w:ascii="Amazing Grotesk" w:hAnsi="Amazing Grotesk"/>
        <w:color w:val="9D1914"/>
        <w:sz w:val="14"/>
        <w:szCs w:val="14"/>
      </w:rPr>
      <w:t>Comunicazione e informazione</w:t>
    </w:r>
  </w:p>
  <w:p w:rsidR="003E58C5" w:rsidRPr="003F1A52" w:rsidRDefault="003E58C5" w:rsidP="003F1A52">
    <w:pPr>
      <w:pStyle w:val="Pidipagina"/>
      <w:tabs>
        <w:tab w:val="clear" w:pos="4819"/>
        <w:tab w:val="clear" w:pos="9638"/>
        <w:tab w:val="left" w:pos="1276"/>
        <w:tab w:val="left" w:pos="6870"/>
      </w:tabs>
      <w:ind w:left="1418" w:hanging="142"/>
      <w:rPr>
        <w:rFonts w:ascii="Amazing Grotesk" w:hAnsi="Amazing Grotesk"/>
        <w:color w:val="9D1914"/>
        <w:sz w:val="14"/>
        <w:szCs w:val="14"/>
      </w:rPr>
    </w:pPr>
    <w:r w:rsidRPr="003F1A52">
      <w:rPr>
        <w:rFonts w:ascii="Amazing Grotesk" w:hAnsi="Amazing Grotesk"/>
        <w:color w:val="9D1914"/>
        <w:sz w:val="14"/>
        <w:szCs w:val="14"/>
      </w:rPr>
      <w:t>Camera di Commercio I.A.A.</w:t>
    </w:r>
  </w:p>
  <w:p w:rsidR="003E58C5" w:rsidRDefault="003E58C5" w:rsidP="003F1A52">
    <w:pPr>
      <w:pStyle w:val="Pidipagina"/>
      <w:tabs>
        <w:tab w:val="clear" w:pos="4819"/>
        <w:tab w:val="clear" w:pos="9638"/>
        <w:tab w:val="left" w:pos="1276"/>
        <w:tab w:val="left" w:pos="6870"/>
      </w:tabs>
      <w:ind w:left="1418" w:hanging="142"/>
      <w:rPr>
        <w:rFonts w:ascii="Amazing Grotesk" w:hAnsi="Amazing Grotesk"/>
        <w:color w:val="9D1914"/>
        <w:sz w:val="14"/>
        <w:szCs w:val="14"/>
      </w:rPr>
    </w:pPr>
    <w:r w:rsidRPr="003F1A52">
      <w:rPr>
        <w:rFonts w:ascii="Amazing Grotesk" w:hAnsi="Amazing Grotesk"/>
        <w:color w:val="9D1914"/>
        <w:sz w:val="14"/>
        <w:szCs w:val="14"/>
      </w:rPr>
      <w:t xml:space="preserve">Tel. +39 0461 887 269 </w:t>
    </w:r>
  </w:p>
  <w:p w:rsidR="003E58C5" w:rsidRDefault="003E58C5" w:rsidP="00582DF9">
    <w:pPr>
      <w:pStyle w:val="Pidipagina"/>
      <w:tabs>
        <w:tab w:val="clear" w:pos="4819"/>
        <w:tab w:val="clear" w:pos="9638"/>
        <w:tab w:val="left" w:pos="1276"/>
        <w:tab w:val="left" w:pos="6870"/>
      </w:tabs>
      <w:ind w:left="1418" w:hanging="142"/>
      <w:rPr>
        <w:rFonts w:ascii="Amazing Grotesk" w:hAnsi="Amazing Grotesk"/>
        <w:color w:val="9D1914"/>
        <w:sz w:val="14"/>
        <w:szCs w:val="14"/>
      </w:rPr>
    </w:pPr>
    <w:r>
      <w:rPr>
        <w:rFonts w:ascii="Amazing Grotesk" w:hAnsi="Amazing Grotesk"/>
        <w:color w:val="9D1914"/>
        <w:sz w:val="14"/>
        <w:szCs w:val="14"/>
      </w:rPr>
      <w:t>Tel. +39 0461 887 270</w:t>
    </w:r>
  </w:p>
  <w:p w:rsidR="003E58C5" w:rsidRPr="003F1A52" w:rsidRDefault="003E58C5" w:rsidP="003F1A52">
    <w:pPr>
      <w:pStyle w:val="Pidipagina"/>
      <w:tabs>
        <w:tab w:val="clear" w:pos="4819"/>
        <w:tab w:val="clear" w:pos="9638"/>
        <w:tab w:val="left" w:pos="1276"/>
        <w:tab w:val="left" w:pos="6870"/>
      </w:tabs>
      <w:ind w:left="1418" w:hanging="142"/>
      <w:rPr>
        <w:rFonts w:ascii="Amazing Grotesk" w:hAnsi="Amazing Grotesk"/>
        <w:color w:val="9D1914"/>
        <w:sz w:val="14"/>
        <w:szCs w:val="14"/>
      </w:rPr>
    </w:pPr>
    <w:r w:rsidRPr="003F1A52">
      <w:rPr>
        <w:rFonts w:ascii="Amazing Grotesk" w:hAnsi="Amazing Grotesk"/>
        <w:color w:val="9D1914"/>
        <w:sz w:val="14"/>
        <w:szCs w:val="14"/>
      </w:rPr>
      <w:t xml:space="preserve">e-mail: </w:t>
    </w:r>
    <w:hyperlink r:id="rId1" w:history="1">
      <w:r w:rsidRPr="00D62D3C">
        <w:rPr>
          <w:rStyle w:val="Collegamentoipertestuale"/>
          <w:rFonts w:ascii="Amazing Grotesk" w:hAnsi="Amazing Grotesk"/>
          <w:sz w:val="14"/>
          <w:szCs w:val="14"/>
        </w:rPr>
        <w:t>ufficio.stampa@tn.camcom.it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58C5" w:rsidRDefault="003E58C5">
      <w:r>
        <w:separator/>
      </w:r>
    </w:p>
  </w:footnote>
  <w:footnote w:type="continuationSeparator" w:id="0">
    <w:p w:rsidR="003E58C5" w:rsidRDefault="003E58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58C5" w:rsidRDefault="003E58C5" w:rsidP="008D4F84">
    <w:pPr>
      <w:pStyle w:val="Intestazione"/>
      <w:tabs>
        <w:tab w:val="clear" w:pos="4819"/>
        <w:tab w:val="clear" w:pos="9638"/>
        <w:tab w:val="center" w:pos="4678"/>
        <w:tab w:val="right" w:pos="9214"/>
      </w:tabs>
      <w:rPr>
        <w:noProof/>
      </w:rPr>
    </w:pPr>
    <w:r>
      <w:rPr>
        <w:noProof/>
      </w:rPr>
      <w:drawing>
        <wp:inline distT="0" distB="0" distL="0" distR="0">
          <wp:extent cx="1713626" cy="962025"/>
          <wp:effectExtent l="0" t="0" r="1270" b="0"/>
          <wp:docPr id="25" name="Immagine 25" descr="C:\Users\ctn0255\AppData\Local\Microsoft\Windows\Temporary Internet Files\Content.Word\CCIA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ctn0255\AppData\Local\Microsoft\Windows\Temporary Internet Files\Content.Word\CCIA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7190" cy="9640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E58C5" w:rsidRDefault="003E58C5" w:rsidP="008F469B">
    <w:pPr>
      <w:pStyle w:val="Intestazione"/>
      <w:tabs>
        <w:tab w:val="clear" w:pos="4819"/>
        <w:tab w:val="clear" w:pos="9638"/>
      </w:tabs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Times New Roman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19"/>
    <w:multiLevelType w:val="multilevel"/>
    <w:tmpl w:val="00000019"/>
    <w:name w:val="WWNum2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Times New Roman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5436839"/>
    <w:multiLevelType w:val="hybridMultilevel"/>
    <w:tmpl w:val="1B725A2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3F2209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6947C5F"/>
    <w:multiLevelType w:val="hybridMultilevel"/>
    <w:tmpl w:val="3E8CD4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EC5C92"/>
    <w:multiLevelType w:val="hybridMultilevel"/>
    <w:tmpl w:val="7528FB5E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356D980">
      <w:start w:val="1"/>
      <w:numFmt w:val="decimal"/>
      <w:lvlText w:val="%2."/>
      <w:lvlJc w:val="left"/>
      <w:pPr>
        <w:tabs>
          <w:tab w:val="num" w:pos="2133"/>
        </w:tabs>
        <w:ind w:left="1080" w:firstLine="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1875EE9"/>
    <w:multiLevelType w:val="hybridMultilevel"/>
    <w:tmpl w:val="B204E9B6"/>
    <w:lvl w:ilvl="0" w:tplc="5DE6971C">
      <w:numFmt w:val="bullet"/>
      <w:lvlText w:val="-"/>
      <w:lvlJc w:val="left"/>
      <w:pPr>
        <w:ind w:left="1625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3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85" w:hanging="360"/>
      </w:pPr>
      <w:rPr>
        <w:rFonts w:ascii="Wingdings" w:hAnsi="Wingdings" w:hint="default"/>
      </w:rPr>
    </w:lvl>
  </w:abstractNum>
  <w:abstractNum w:abstractNumId="7" w15:restartNumberingAfterBreak="0">
    <w:nsid w:val="67AB5107"/>
    <w:multiLevelType w:val="hybridMultilevel"/>
    <w:tmpl w:val="9BC2C7AA"/>
    <w:lvl w:ilvl="0" w:tplc="8C10EE9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054A36"/>
    <w:multiLevelType w:val="hybridMultilevel"/>
    <w:tmpl w:val="2DC64FEC"/>
    <w:lvl w:ilvl="0" w:tplc="61047078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356" w:hanging="360"/>
      </w:pPr>
    </w:lvl>
    <w:lvl w:ilvl="2" w:tplc="0410001B" w:tentative="1">
      <w:start w:val="1"/>
      <w:numFmt w:val="lowerRoman"/>
      <w:lvlText w:val="%3."/>
      <w:lvlJc w:val="right"/>
      <w:pPr>
        <w:ind w:left="3076" w:hanging="180"/>
      </w:pPr>
    </w:lvl>
    <w:lvl w:ilvl="3" w:tplc="0410000F" w:tentative="1">
      <w:start w:val="1"/>
      <w:numFmt w:val="decimal"/>
      <w:lvlText w:val="%4."/>
      <w:lvlJc w:val="left"/>
      <w:pPr>
        <w:ind w:left="3796" w:hanging="360"/>
      </w:pPr>
    </w:lvl>
    <w:lvl w:ilvl="4" w:tplc="04100019" w:tentative="1">
      <w:start w:val="1"/>
      <w:numFmt w:val="lowerLetter"/>
      <w:lvlText w:val="%5."/>
      <w:lvlJc w:val="left"/>
      <w:pPr>
        <w:ind w:left="4516" w:hanging="360"/>
      </w:pPr>
    </w:lvl>
    <w:lvl w:ilvl="5" w:tplc="0410001B" w:tentative="1">
      <w:start w:val="1"/>
      <w:numFmt w:val="lowerRoman"/>
      <w:lvlText w:val="%6."/>
      <w:lvlJc w:val="right"/>
      <w:pPr>
        <w:ind w:left="5236" w:hanging="180"/>
      </w:pPr>
    </w:lvl>
    <w:lvl w:ilvl="6" w:tplc="0410000F" w:tentative="1">
      <w:start w:val="1"/>
      <w:numFmt w:val="decimal"/>
      <w:lvlText w:val="%7."/>
      <w:lvlJc w:val="left"/>
      <w:pPr>
        <w:ind w:left="5956" w:hanging="360"/>
      </w:pPr>
    </w:lvl>
    <w:lvl w:ilvl="7" w:tplc="04100019" w:tentative="1">
      <w:start w:val="1"/>
      <w:numFmt w:val="lowerLetter"/>
      <w:lvlText w:val="%8."/>
      <w:lvlJc w:val="left"/>
      <w:pPr>
        <w:ind w:left="6676" w:hanging="360"/>
      </w:pPr>
    </w:lvl>
    <w:lvl w:ilvl="8" w:tplc="0410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9" w15:restartNumberingAfterBreak="0">
    <w:nsid w:val="79864E6B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7F7D2DCE"/>
    <w:multiLevelType w:val="hybridMultilevel"/>
    <w:tmpl w:val="BD2CE55A"/>
    <w:lvl w:ilvl="0" w:tplc="A490C13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7"/>
  </w:num>
  <w:num w:numId="8">
    <w:abstractNumId w:val="10"/>
  </w:num>
  <w:num w:numId="9">
    <w:abstractNumId w:val="8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26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69B"/>
    <w:rsid w:val="000117E6"/>
    <w:rsid w:val="0001390C"/>
    <w:rsid w:val="0002106F"/>
    <w:rsid w:val="00025707"/>
    <w:rsid w:val="000269CA"/>
    <w:rsid w:val="00031F75"/>
    <w:rsid w:val="00037F6E"/>
    <w:rsid w:val="00040F2B"/>
    <w:rsid w:val="00047BA2"/>
    <w:rsid w:val="00055BF5"/>
    <w:rsid w:val="00056257"/>
    <w:rsid w:val="00067410"/>
    <w:rsid w:val="00067C22"/>
    <w:rsid w:val="000703FD"/>
    <w:rsid w:val="00070E64"/>
    <w:rsid w:val="00070E99"/>
    <w:rsid w:val="00074F6B"/>
    <w:rsid w:val="00082DFA"/>
    <w:rsid w:val="00083AA9"/>
    <w:rsid w:val="00084CC0"/>
    <w:rsid w:val="00092D31"/>
    <w:rsid w:val="00093CAD"/>
    <w:rsid w:val="000A03C0"/>
    <w:rsid w:val="000A19DB"/>
    <w:rsid w:val="000A6030"/>
    <w:rsid w:val="000C045B"/>
    <w:rsid w:val="000C5CCC"/>
    <w:rsid w:val="000C6289"/>
    <w:rsid w:val="000C62B5"/>
    <w:rsid w:val="000C7BD4"/>
    <w:rsid w:val="000D3D35"/>
    <w:rsid w:val="000E343F"/>
    <w:rsid w:val="000E58E6"/>
    <w:rsid w:val="000F25A0"/>
    <w:rsid w:val="000F7A8F"/>
    <w:rsid w:val="00102F6E"/>
    <w:rsid w:val="00102F75"/>
    <w:rsid w:val="001105D3"/>
    <w:rsid w:val="001156B4"/>
    <w:rsid w:val="0012213D"/>
    <w:rsid w:val="0012470A"/>
    <w:rsid w:val="00125816"/>
    <w:rsid w:val="0013007A"/>
    <w:rsid w:val="00130283"/>
    <w:rsid w:val="001353A9"/>
    <w:rsid w:val="00141BAD"/>
    <w:rsid w:val="0014560D"/>
    <w:rsid w:val="00145706"/>
    <w:rsid w:val="00151592"/>
    <w:rsid w:val="0016196C"/>
    <w:rsid w:val="001636C9"/>
    <w:rsid w:val="00174309"/>
    <w:rsid w:val="00176E40"/>
    <w:rsid w:val="00180C87"/>
    <w:rsid w:val="00180E1E"/>
    <w:rsid w:val="00185207"/>
    <w:rsid w:val="00197332"/>
    <w:rsid w:val="001A0A6D"/>
    <w:rsid w:val="001B3264"/>
    <w:rsid w:val="001B3A78"/>
    <w:rsid w:val="001C3091"/>
    <w:rsid w:val="001C554C"/>
    <w:rsid w:val="001C63B4"/>
    <w:rsid w:val="001C72E4"/>
    <w:rsid w:val="001D0321"/>
    <w:rsid w:val="001D43E8"/>
    <w:rsid w:val="001E24CB"/>
    <w:rsid w:val="001E2912"/>
    <w:rsid w:val="001E6740"/>
    <w:rsid w:val="001E69D5"/>
    <w:rsid w:val="001F3C55"/>
    <w:rsid w:val="001F5146"/>
    <w:rsid w:val="001F5EFB"/>
    <w:rsid w:val="001F6307"/>
    <w:rsid w:val="001F7EBB"/>
    <w:rsid w:val="002158D7"/>
    <w:rsid w:val="0022484B"/>
    <w:rsid w:val="00224CE9"/>
    <w:rsid w:val="002261F5"/>
    <w:rsid w:val="00226A40"/>
    <w:rsid w:val="00227243"/>
    <w:rsid w:val="00230EB5"/>
    <w:rsid w:val="002313A7"/>
    <w:rsid w:val="00232F52"/>
    <w:rsid w:val="00234E4E"/>
    <w:rsid w:val="00241EA4"/>
    <w:rsid w:val="00243031"/>
    <w:rsid w:val="00243791"/>
    <w:rsid w:val="00243B10"/>
    <w:rsid w:val="0025111C"/>
    <w:rsid w:val="00252C17"/>
    <w:rsid w:val="00260696"/>
    <w:rsid w:val="0026345A"/>
    <w:rsid w:val="00284D7F"/>
    <w:rsid w:val="00285ECC"/>
    <w:rsid w:val="002861C1"/>
    <w:rsid w:val="002864E3"/>
    <w:rsid w:val="002941BD"/>
    <w:rsid w:val="002A107E"/>
    <w:rsid w:val="002A25E1"/>
    <w:rsid w:val="002A5B84"/>
    <w:rsid w:val="002A78BF"/>
    <w:rsid w:val="002B2059"/>
    <w:rsid w:val="002B2B2A"/>
    <w:rsid w:val="002B7819"/>
    <w:rsid w:val="002C2A3E"/>
    <w:rsid w:val="002D07EC"/>
    <w:rsid w:val="002D127A"/>
    <w:rsid w:val="002D1B86"/>
    <w:rsid w:val="002D3782"/>
    <w:rsid w:val="002D655C"/>
    <w:rsid w:val="002D68D9"/>
    <w:rsid w:val="002E20AD"/>
    <w:rsid w:val="002E4245"/>
    <w:rsid w:val="002E7A80"/>
    <w:rsid w:val="002F1B92"/>
    <w:rsid w:val="002F51DE"/>
    <w:rsid w:val="002F7403"/>
    <w:rsid w:val="003228AE"/>
    <w:rsid w:val="00324685"/>
    <w:rsid w:val="00324D13"/>
    <w:rsid w:val="00325D0E"/>
    <w:rsid w:val="0032604B"/>
    <w:rsid w:val="0032681E"/>
    <w:rsid w:val="00327AD2"/>
    <w:rsid w:val="0033526B"/>
    <w:rsid w:val="00336C91"/>
    <w:rsid w:val="00344EA8"/>
    <w:rsid w:val="00350754"/>
    <w:rsid w:val="00351708"/>
    <w:rsid w:val="003577AC"/>
    <w:rsid w:val="0037134B"/>
    <w:rsid w:val="00372FA8"/>
    <w:rsid w:val="00373DAC"/>
    <w:rsid w:val="003769FB"/>
    <w:rsid w:val="003829E4"/>
    <w:rsid w:val="00383F68"/>
    <w:rsid w:val="00394A40"/>
    <w:rsid w:val="003A1192"/>
    <w:rsid w:val="003A3BE2"/>
    <w:rsid w:val="003B05AA"/>
    <w:rsid w:val="003B137E"/>
    <w:rsid w:val="003B1DE1"/>
    <w:rsid w:val="003B76B5"/>
    <w:rsid w:val="003C099A"/>
    <w:rsid w:val="003C2802"/>
    <w:rsid w:val="003C2D4A"/>
    <w:rsid w:val="003C3247"/>
    <w:rsid w:val="003D086B"/>
    <w:rsid w:val="003D2C05"/>
    <w:rsid w:val="003D33BB"/>
    <w:rsid w:val="003D6094"/>
    <w:rsid w:val="003D7A85"/>
    <w:rsid w:val="003E4096"/>
    <w:rsid w:val="003E58C5"/>
    <w:rsid w:val="003F19BF"/>
    <w:rsid w:val="003F1A52"/>
    <w:rsid w:val="00402E8F"/>
    <w:rsid w:val="004033CB"/>
    <w:rsid w:val="0041106F"/>
    <w:rsid w:val="0041443C"/>
    <w:rsid w:val="00417221"/>
    <w:rsid w:val="004254A4"/>
    <w:rsid w:val="00425E36"/>
    <w:rsid w:val="00426156"/>
    <w:rsid w:val="00426993"/>
    <w:rsid w:val="00427A25"/>
    <w:rsid w:val="00430007"/>
    <w:rsid w:val="00430AD9"/>
    <w:rsid w:val="00434A23"/>
    <w:rsid w:val="00437921"/>
    <w:rsid w:val="00455D46"/>
    <w:rsid w:val="004578F8"/>
    <w:rsid w:val="0046069E"/>
    <w:rsid w:val="00477EA5"/>
    <w:rsid w:val="00477F6C"/>
    <w:rsid w:val="0048015B"/>
    <w:rsid w:val="00481525"/>
    <w:rsid w:val="004816A1"/>
    <w:rsid w:val="00487BBC"/>
    <w:rsid w:val="00492BC7"/>
    <w:rsid w:val="00493748"/>
    <w:rsid w:val="0049490B"/>
    <w:rsid w:val="004B1730"/>
    <w:rsid w:val="004B1D64"/>
    <w:rsid w:val="004B538C"/>
    <w:rsid w:val="004C3082"/>
    <w:rsid w:val="004C3F85"/>
    <w:rsid w:val="004C6169"/>
    <w:rsid w:val="004C6AFC"/>
    <w:rsid w:val="004D023C"/>
    <w:rsid w:val="004D1CC9"/>
    <w:rsid w:val="004D1EB8"/>
    <w:rsid w:val="004D3175"/>
    <w:rsid w:val="004D3B61"/>
    <w:rsid w:val="004D4D4E"/>
    <w:rsid w:val="004E034B"/>
    <w:rsid w:val="004E0B10"/>
    <w:rsid w:val="004E254E"/>
    <w:rsid w:val="004E2F72"/>
    <w:rsid w:val="004F1E76"/>
    <w:rsid w:val="004F4027"/>
    <w:rsid w:val="004F5039"/>
    <w:rsid w:val="004F6EE2"/>
    <w:rsid w:val="0050050A"/>
    <w:rsid w:val="00500D85"/>
    <w:rsid w:val="00505E25"/>
    <w:rsid w:val="0051003E"/>
    <w:rsid w:val="005122C8"/>
    <w:rsid w:val="00514987"/>
    <w:rsid w:val="00526273"/>
    <w:rsid w:val="00527C89"/>
    <w:rsid w:val="005310BB"/>
    <w:rsid w:val="00531390"/>
    <w:rsid w:val="00534873"/>
    <w:rsid w:val="00537D2B"/>
    <w:rsid w:val="005405C2"/>
    <w:rsid w:val="00541CAE"/>
    <w:rsid w:val="00545166"/>
    <w:rsid w:val="00545C01"/>
    <w:rsid w:val="00547F9B"/>
    <w:rsid w:val="005511DE"/>
    <w:rsid w:val="00556E61"/>
    <w:rsid w:val="00557B06"/>
    <w:rsid w:val="00562400"/>
    <w:rsid w:val="00564D59"/>
    <w:rsid w:val="00573EF4"/>
    <w:rsid w:val="0057527E"/>
    <w:rsid w:val="005756AD"/>
    <w:rsid w:val="005809A9"/>
    <w:rsid w:val="00582DF9"/>
    <w:rsid w:val="0058318A"/>
    <w:rsid w:val="005836C7"/>
    <w:rsid w:val="00584A30"/>
    <w:rsid w:val="00584F75"/>
    <w:rsid w:val="00587F2D"/>
    <w:rsid w:val="00593CA2"/>
    <w:rsid w:val="005954E9"/>
    <w:rsid w:val="00597EFC"/>
    <w:rsid w:val="005A0D10"/>
    <w:rsid w:val="005A4610"/>
    <w:rsid w:val="005A5575"/>
    <w:rsid w:val="005C0EE9"/>
    <w:rsid w:val="005D12E0"/>
    <w:rsid w:val="005D38FC"/>
    <w:rsid w:val="005E5E60"/>
    <w:rsid w:val="005F0B48"/>
    <w:rsid w:val="005F596D"/>
    <w:rsid w:val="005F5A03"/>
    <w:rsid w:val="005F6F74"/>
    <w:rsid w:val="005F7777"/>
    <w:rsid w:val="00600A6D"/>
    <w:rsid w:val="00603F83"/>
    <w:rsid w:val="00604DEF"/>
    <w:rsid w:val="006076C2"/>
    <w:rsid w:val="006112AA"/>
    <w:rsid w:val="00611D55"/>
    <w:rsid w:val="00612742"/>
    <w:rsid w:val="006136DF"/>
    <w:rsid w:val="00616C21"/>
    <w:rsid w:val="00623CE0"/>
    <w:rsid w:val="006241FF"/>
    <w:rsid w:val="00624F85"/>
    <w:rsid w:val="00634532"/>
    <w:rsid w:val="006425AC"/>
    <w:rsid w:val="00643E51"/>
    <w:rsid w:val="00644F94"/>
    <w:rsid w:val="00645317"/>
    <w:rsid w:val="006627F1"/>
    <w:rsid w:val="00662DC3"/>
    <w:rsid w:val="006634F2"/>
    <w:rsid w:val="00663AD2"/>
    <w:rsid w:val="00663CFB"/>
    <w:rsid w:val="00667AD2"/>
    <w:rsid w:val="00672815"/>
    <w:rsid w:val="00672E04"/>
    <w:rsid w:val="00676446"/>
    <w:rsid w:val="00676BE4"/>
    <w:rsid w:val="00682800"/>
    <w:rsid w:val="00683B59"/>
    <w:rsid w:val="00683B8B"/>
    <w:rsid w:val="006841D1"/>
    <w:rsid w:val="00685B2C"/>
    <w:rsid w:val="00690AFA"/>
    <w:rsid w:val="00691228"/>
    <w:rsid w:val="006923FA"/>
    <w:rsid w:val="006A0AC7"/>
    <w:rsid w:val="006A29A6"/>
    <w:rsid w:val="006A363D"/>
    <w:rsid w:val="006A4667"/>
    <w:rsid w:val="006A5306"/>
    <w:rsid w:val="006B1685"/>
    <w:rsid w:val="006B1D4D"/>
    <w:rsid w:val="006B2B85"/>
    <w:rsid w:val="006B6052"/>
    <w:rsid w:val="006C05DB"/>
    <w:rsid w:val="006C11C0"/>
    <w:rsid w:val="006D65B1"/>
    <w:rsid w:val="006E762F"/>
    <w:rsid w:val="006F0AFA"/>
    <w:rsid w:val="006F0BB4"/>
    <w:rsid w:val="007009C2"/>
    <w:rsid w:val="00710CA5"/>
    <w:rsid w:val="00715B49"/>
    <w:rsid w:val="00716DCD"/>
    <w:rsid w:val="00716F4F"/>
    <w:rsid w:val="007213A0"/>
    <w:rsid w:val="0072450D"/>
    <w:rsid w:val="00724D64"/>
    <w:rsid w:val="007268DD"/>
    <w:rsid w:val="00727366"/>
    <w:rsid w:val="007317B0"/>
    <w:rsid w:val="00744AB0"/>
    <w:rsid w:val="007514D5"/>
    <w:rsid w:val="00764265"/>
    <w:rsid w:val="007650C1"/>
    <w:rsid w:val="00773A2A"/>
    <w:rsid w:val="0077654C"/>
    <w:rsid w:val="0078210A"/>
    <w:rsid w:val="007826B1"/>
    <w:rsid w:val="00790A38"/>
    <w:rsid w:val="00791B5C"/>
    <w:rsid w:val="00796309"/>
    <w:rsid w:val="007968B7"/>
    <w:rsid w:val="007A59B3"/>
    <w:rsid w:val="007B12EB"/>
    <w:rsid w:val="007B2F2F"/>
    <w:rsid w:val="007B44B1"/>
    <w:rsid w:val="007B4E9C"/>
    <w:rsid w:val="007C29A7"/>
    <w:rsid w:val="007C3899"/>
    <w:rsid w:val="007E068F"/>
    <w:rsid w:val="007E1A7C"/>
    <w:rsid w:val="007E332B"/>
    <w:rsid w:val="007E3475"/>
    <w:rsid w:val="007E771C"/>
    <w:rsid w:val="007F0137"/>
    <w:rsid w:val="007F1144"/>
    <w:rsid w:val="007F5C70"/>
    <w:rsid w:val="007F5DA4"/>
    <w:rsid w:val="00802167"/>
    <w:rsid w:val="0080507D"/>
    <w:rsid w:val="008076F3"/>
    <w:rsid w:val="00812B1B"/>
    <w:rsid w:val="00813390"/>
    <w:rsid w:val="00815F1C"/>
    <w:rsid w:val="00846019"/>
    <w:rsid w:val="00851A94"/>
    <w:rsid w:val="00865D73"/>
    <w:rsid w:val="00866107"/>
    <w:rsid w:val="00870052"/>
    <w:rsid w:val="0087420A"/>
    <w:rsid w:val="00875F96"/>
    <w:rsid w:val="008807F7"/>
    <w:rsid w:val="00884838"/>
    <w:rsid w:val="008861BF"/>
    <w:rsid w:val="00886E19"/>
    <w:rsid w:val="008910F9"/>
    <w:rsid w:val="00891EF6"/>
    <w:rsid w:val="00892DB7"/>
    <w:rsid w:val="008961C6"/>
    <w:rsid w:val="008A08F7"/>
    <w:rsid w:val="008A096E"/>
    <w:rsid w:val="008B2F0C"/>
    <w:rsid w:val="008B335E"/>
    <w:rsid w:val="008B4158"/>
    <w:rsid w:val="008B7598"/>
    <w:rsid w:val="008D0DCA"/>
    <w:rsid w:val="008D4F84"/>
    <w:rsid w:val="008D5AE3"/>
    <w:rsid w:val="008E034D"/>
    <w:rsid w:val="008E2962"/>
    <w:rsid w:val="008F1C9A"/>
    <w:rsid w:val="008F39AA"/>
    <w:rsid w:val="008F469B"/>
    <w:rsid w:val="008F477C"/>
    <w:rsid w:val="008F6C89"/>
    <w:rsid w:val="0090380A"/>
    <w:rsid w:val="00917B87"/>
    <w:rsid w:val="009247FD"/>
    <w:rsid w:val="00941858"/>
    <w:rsid w:val="00950B25"/>
    <w:rsid w:val="00953231"/>
    <w:rsid w:val="00956508"/>
    <w:rsid w:val="00956F2E"/>
    <w:rsid w:val="0096513C"/>
    <w:rsid w:val="00972C7D"/>
    <w:rsid w:val="00973FFF"/>
    <w:rsid w:val="00982D23"/>
    <w:rsid w:val="00985B03"/>
    <w:rsid w:val="00991071"/>
    <w:rsid w:val="009944D6"/>
    <w:rsid w:val="00994BBB"/>
    <w:rsid w:val="0099502B"/>
    <w:rsid w:val="009950A4"/>
    <w:rsid w:val="00995CD6"/>
    <w:rsid w:val="00996C10"/>
    <w:rsid w:val="009A367D"/>
    <w:rsid w:val="009A4A56"/>
    <w:rsid w:val="009A5AB2"/>
    <w:rsid w:val="009A6D6C"/>
    <w:rsid w:val="009A7E26"/>
    <w:rsid w:val="009B12D0"/>
    <w:rsid w:val="009B1BCF"/>
    <w:rsid w:val="009B4846"/>
    <w:rsid w:val="009B48AA"/>
    <w:rsid w:val="009C1C2B"/>
    <w:rsid w:val="009D1F52"/>
    <w:rsid w:val="009D26FB"/>
    <w:rsid w:val="009E44D3"/>
    <w:rsid w:val="009E4FE1"/>
    <w:rsid w:val="009E7C63"/>
    <w:rsid w:val="009F0374"/>
    <w:rsid w:val="009F528E"/>
    <w:rsid w:val="009F7977"/>
    <w:rsid w:val="00A04BEB"/>
    <w:rsid w:val="00A0576D"/>
    <w:rsid w:val="00A1697D"/>
    <w:rsid w:val="00A220FE"/>
    <w:rsid w:val="00A30EF2"/>
    <w:rsid w:val="00A3562F"/>
    <w:rsid w:val="00A41DFC"/>
    <w:rsid w:val="00A44B18"/>
    <w:rsid w:val="00A534B4"/>
    <w:rsid w:val="00A541E5"/>
    <w:rsid w:val="00A554FE"/>
    <w:rsid w:val="00A61A3F"/>
    <w:rsid w:val="00A63966"/>
    <w:rsid w:val="00A656FF"/>
    <w:rsid w:val="00A65C76"/>
    <w:rsid w:val="00A65EF4"/>
    <w:rsid w:val="00A72F6F"/>
    <w:rsid w:val="00A77C5B"/>
    <w:rsid w:val="00A8653C"/>
    <w:rsid w:val="00A86FE5"/>
    <w:rsid w:val="00A87923"/>
    <w:rsid w:val="00A87E2A"/>
    <w:rsid w:val="00A9320D"/>
    <w:rsid w:val="00A942F4"/>
    <w:rsid w:val="00AA3238"/>
    <w:rsid w:val="00AA5A6C"/>
    <w:rsid w:val="00AA6F6E"/>
    <w:rsid w:val="00AA7309"/>
    <w:rsid w:val="00AB0635"/>
    <w:rsid w:val="00AB2FBA"/>
    <w:rsid w:val="00AB55AB"/>
    <w:rsid w:val="00AB74BE"/>
    <w:rsid w:val="00AC1297"/>
    <w:rsid w:val="00AC5B36"/>
    <w:rsid w:val="00AC5EC9"/>
    <w:rsid w:val="00AF14E0"/>
    <w:rsid w:val="00AF44C0"/>
    <w:rsid w:val="00AF5B69"/>
    <w:rsid w:val="00AF5FC0"/>
    <w:rsid w:val="00B00F71"/>
    <w:rsid w:val="00B01989"/>
    <w:rsid w:val="00B03655"/>
    <w:rsid w:val="00B109EB"/>
    <w:rsid w:val="00B12D2D"/>
    <w:rsid w:val="00B20430"/>
    <w:rsid w:val="00B2350A"/>
    <w:rsid w:val="00B26BCE"/>
    <w:rsid w:val="00B33D60"/>
    <w:rsid w:val="00B367B3"/>
    <w:rsid w:val="00B42723"/>
    <w:rsid w:val="00B42DC2"/>
    <w:rsid w:val="00B52C3B"/>
    <w:rsid w:val="00B54A7D"/>
    <w:rsid w:val="00B63685"/>
    <w:rsid w:val="00B676F9"/>
    <w:rsid w:val="00B70B30"/>
    <w:rsid w:val="00B77634"/>
    <w:rsid w:val="00B804B7"/>
    <w:rsid w:val="00B80D56"/>
    <w:rsid w:val="00B86F38"/>
    <w:rsid w:val="00B92024"/>
    <w:rsid w:val="00B934F4"/>
    <w:rsid w:val="00B95556"/>
    <w:rsid w:val="00BA6205"/>
    <w:rsid w:val="00BA74B1"/>
    <w:rsid w:val="00BB3508"/>
    <w:rsid w:val="00BB62C1"/>
    <w:rsid w:val="00BC0842"/>
    <w:rsid w:val="00BC6A26"/>
    <w:rsid w:val="00BD0A3E"/>
    <w:rsid w:val="00BD3D8E"/>
    <w:rsid w:val="00BE62A3"/>
    <w:rsid w:val="00BF78E1"/>
    <w:rsid w:val="00C107A7"/>
    <w:rsid w:val="00C132B9"/>
    <w:rsid w:val="00C14D9F"/>
    <w:rsid w:val="00C158DC"/>
    <w:rsid w:val="00C22FAA"/>
    <w:rsid w:val="00C232EE"/>
    <w:rsid w:val="00C26A9D"/>
    <w:rsid w:val="00C3028E"/>
    <w:rsid w:val="00C355F2"/>
    <w:rsid w:val="00C356C5"/>
    <w:rsid w:val="00C35B35"/>
    <w:rsid w:val="00C36F38"/>
    <w:rsid w:val="00C36F53"/>
    <w:rsid w:val="00C424F4"/>
    <w:rsid w:val="00C44688"/>
    <w:rsid w:val="00C44934"/>
    <w:rsid w:val="00C52405"/>
    <w:rsid w:val="00C52E65"/>
    <w:rsid w:val="00C53570"/>
    <w:rsid w:val="00C639A9"/>
    <w:rsid w:val="00C63D97"/>
    <w:rsid w:val="00C64F33"/>
    <w:rsid w:val="00C65382"/>
    <w:rsid w:val="00C66621"/>
    <w:rsid w:val="00C70D20"/>
    <w:rsid w:val="00C71C76"/>
    <w:rsid w:val="00C73A9A"/>
    <w:rsid w:val="00C75AD9"/>
    <w:rsid w:val="00C83AE8"/>
    <w:rsid w:val="00C84CAD"/>
    <w:rsid w:val="00C859C9"/>
    <w:rsid w:val="00C8738A"/>
    <w:rsid w:val="00C9328D"/>
    <w:rsid w:val="00C94236"/>
    <w:rsid w:val="00C94CBC"/>
    <w:rsid w:val="00CA4208"/>
    <w:rsid w:val="00CB2B24"/>
    <w:rsid w:val="00CB3D7F"/>
    <w:rsid w:val="00CB3F53"/>
    <w:rsid w:val="00CB7E8F"/>
    <w:rsid w:val="00CC12F4"/>
    <w:rsid w:val="00CC5765"/>
    <w:rsid w:val="00CD6045"/>
    <w:rsid w:val="00CD62E8"/>
    <w:rsid w:val="00CE369E"/>
    <w:rsid w:val="00CE4EE3"/>
    <w:rsid w:val="00CF070B"/>
    <w:rsid w:val="00CF33F3"/>
    <w:rsid w:val="00CF6A49"/>
    <w:rsid w:val="00D0064E"/>
    <w:rsid w:val="00D12239"/>
    <w:rsid w:val="00D12FF1"/>
    <w:rsid w:val="00D23CF7"/>
    <w:rsid w:val="00D2450B"/>
    <w:rsid w:val="00D33C6F"/>
    <w:rsid w:val="00D34E84"/>
    <w:rsid w:val="00D4018E"/>
    <w:rsid w:val="00D43AA5"/>
    <w:rsid w:val="00D46190"/>
    <w:rsid w:val="00D50C79"/>
    <w:rsid w:val="00D53191"/>
    <w:rsid w:val="00D5352B"/>
    <w:rsid w:val="00D538B5"/>
    <w:rsid w:val="00D545DF"/>
    <w:rsid w:val="00D5621C"/>
    <w:rsid w:val="00D57AEE"/>
    <w:rsid w:val="00D62AD2"/>
    <w:rsid w:val="00D6311F"/>
    <w:rsid w:val="00D63472"/>
    <w:rsid w:val="00D70592"/>
    <w:rsid w:val="00D71011"/>
    <w:rsid w:val="00D72232"/>
    <w:rsid w:val="00D72C15"/>
    <w:rsid w:val="00D731EC"/>
    <w:rsid w:val="00D74466"/>
    <w:rsid w:val="00D76A2E"/>
    <w:rsid w:val="00D775F6"/>
    <w:rsid w:val="00D84041"/>
    <w:rsid w:val="00D86280"/>
    <w:rsid w:val="00D87537"/>
    <w:rsid w:val="00D92FCA"/>
    <w:rsid w:val="00DA60CB"/>
    <w:rsid w:val="00DA764C"/>
    <w:rsid w:val="00DB07D6"/>
    <w:rsid w:val="00DB42E0"/>
    <w:rsid w:val="00DB575E"/>
    <w:rsid w:val="00DC0A45"/>
    <w:rsid w:val="00DC2AD2"/>
    <w:rsid w:val="00DC52BC"/>
    <w:rsid w:val="00DD01CB"/>
    <w:rsid w:val="00DD1EAE"/>
    <w:rsid w:val="00DD26E5"/>
    <w:rsid w:val="00DD5B5E"/>
    <w:rsid w:val="00DD7846"/>
    <w:rsid w:val="00DE005D"/>
    <w:rsid w:val="00DE08A8"/>
    <w:rsid w:val="00DE42C4"/>
    <w:rsid w:val="00DF04E0"/>
    <w:rsid w:val="00DF42CB"/>
    <w:rsid w:val="00DF4DAD"/>
    <w:rsid w:val="00E01F13"/>
    <w:rsid w:val="00E05087"/>
    <w:rsid w:val="00E07F25"/>
    <w:rsid w:val="00E1033B"/>
    <w:rsid w:val="00E12D6F"/>
    <w:rsid w:val="00E12F6E"/>
    <w:rsid w:val="00E141C0"/>
    <w:rsid w:val="00E1589C"/>
    <w:rsid w:val="00E25FC8"/>
    <w:rsid w:val="00E3127E"/>
    <w:rsid w:val="00E34017"/>
    <w:rsid w:val="00E351C3"/>
    <w:rsid w:val="00E3543D"/>
    <w:rsid w:val="00E42D71"/>
    <w:rsid w:val="00E52978"/>
    <w:rsid w:val="00E62078"/>
    <w:rsid w:val="00E661BF"/>
    <w:rsid w:val="00E72124"/>
    <w:rsid w:val="00E81EF5"/>
    <w:rsid w:val="00E826A6"/>
    <w:rsid w:val="00E877EE"/>
    <w:rsid w:val="00E87CAA"/>
    <w:rsid w:val="00E921B2"/>
    <w:rsid w:val="00E95494"/>
    <w:rsid w:val="00EB129C"/>
    <w:rsid w:val="00EC0874"/>
    <w:rsid w:val="00EC2264"/>
    <w:rsid w:val="00EC3FD9"/>
    <w:rsid w:val="00EC5D4C"/>
    <w:rsid w:val="00EC7105"/>
    <w:rsid w:val="00ED0CBF"/>
    <w:rsid w:val="00ED5723"/>
    <w:rsid w:val="00ED6651"/>
    <w:rsid w:val="00EE1260"/>
    <w:rsid w:val="00EE20FA"/>
    <w:rsid w:val="00EE3B85"/>
    <w:rsid w:val="00EE758A"/>
    <w:rsid w:val="00EF3406"/>
    <w:rsid w:val="00EF6ECF"/>
    <w:rsid w:val="00EF775C"/>
    <w:rsid w:val="00F05380"/>
    <w:rsid w:val="00F06568"/>
    <w:rsid w:val="00F130B8"/>
    <w:rsid w:val="00F138BF"/>
    <w:rsid w:val="00F20486"/>
    <w:rsid w:val="00F208D4"/>
    <w:rsid w:val="00F2186E"/>
    <w:rsid w:val="00F2659C"/>
    <w:rsid w:val="00F34D85"/>
    <w:rsid w:val="00F402A6"/>
    <w:rsid w:val="00F41278"/>
    <w:rsid w:val="00F4178A"/>
    <w:rsid w:val="00F4336A"/>
    <w:rsid w:val="00F43606"/>
    <w:rsid w:val="00F458C7"/>
    <w:rsid w:val="00F50C56"/>
    <w:rsid w:val="00F5340D"/>
    <w:rsid w:val="00F5594F"/>
    <w:rsid w:val="00F62E9C"/>
    <w:rsid w:val="00F64C32"/>
    <w:rsid w:val="00F707F2"/>
    <w:rsid w:val="00F7298B"/>
    <w:rsid w:val="00F738A1"/>
    <w:rsid w:val="00F84811"/>
    <w:rsid w:val="00F87186"/>
    <w:rsid w:val="00F928EC"/>
    <w:rsid w:val="00F970A1"/>
    <w:rsid w:val="00FA3468"/>
    <w:rsid w:val="00FA7761"/>
    <w:rsid w:val="00FA7AB5"/>
    <w:rsid w:val="00FB31E5"/>
    <w:rsid w:val="00FB3777"/>
    <w:rsid w:val="00FC03C3"/>
    <w:rsid w:val="00FC0D99"/>
    <w:rsid w:val="00FC3CB4"/>
    <w:rsid w:val="00FC552F"/>
    <w:rsid w:val="00FC5CB0"/>
    <w:rsid w:val="00FD7F07"/>
    <w:rsid w:val="00FE2B6B"/>
    <w:rsid w:val="00FF5848"/>
    <w:rsid w:val="00FF6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7825"/>
    <o:shapelayout v:ext="edit">
      <o:idmap v:ext="edit" data="1"/>
    </o:shapelayout>
  </w:shapeDefaults>
  <w:decimalSymbol w:val=","/>
  <w:listSeparator w:val=";"/>
  <w15:docId w15:val="{7319C22E-8AF9-4A31-83BB-67706AB1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="Times New Roman" w:hAnsi="Verdan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63472"/>
  </w:style>
  <w:style w:type="paragraph" w:styleId="Titolo1">
    <w:name w:val="heading 1"/>
    <w:basedOn w:val="Normale"/>
    <w:next w:val="Normale"/>
    <w:qFormat/>
    <w:pPr>
      <w:keepNext/>
      <w:tabs>
        <w:tab w:val="right" w:pos="8505"/>
      </w:tabs>
      <w:outlineLvl w:val="0"/>
    </w:pPr>
    <w:rPr>
      <w:b/>
      <w:u w:val="single"/>
    </w:rPr>
  </w:style>
  <w:style w:type="paragraph" w:styleId="Titolo2">
    <w:name w:val="heading 2"/>
    <w:basedOn w:val="Normale"/>
    <w:next w:val="Normale"/>
    <w:qFormat/>
    <w:pPr>
      <w:keepNext/>
      <w:tabs>
        <w:tab w:val="right" w:pos="9072"/>
      </w:tabs>
      <w:outlineLvl w:val="1"/>
    </w:pPr>
    <w:rPr>
      <w:rFonts w:ascii="Bookman Old Style" w:hAnsi="Bookman Old Style"/>
      <w:sz w:val="24"/>
    </w:rPr>
  </w:style>
  <w:style w:type="paragraph" w:styleId="Titolo4">
    <w:name w:val="heading 4"/>
    <w:basedOn w:val="Normale"/>
    <w:next w:val="Normale"/>
    <w:qFormat/>
    <w:rsid w:val="00C232E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pPr>
      <w:tabs>
        <w:tab w:val="right" w:pos="8505"/>
      </w:tabs>
      <w:ind w:left="1134" w:hanging="1134"/>
    </w:pPr>
  </w:style>
  <w:style w:type="paragraph" w:styleId="Rientrocorpodeltesto2">
    <w:name w:val="Body Text Indent 2"/>
    <w:basedOn w:val="Normale"/>
    <w:pPr>
      <w:tabs>
        <w:tab w:val="right" w:pos="8505"/>
      </w:tabs>
      <w:spacing w:after="120"/>
      <w:ind w:firstLine="1134"/>
      <w:jc w:val="both"/>
    </w:pPr>
    <w:rPr>
      <w:rFonts w:ascii="Bookman Old Style" w:hAnsi="Bookman Old Style"/>
      <w:sz w:val="24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562400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rsid w:val="00C232EE"/>
    <w:pPr>
      <w:spacing w:after="120"/>
    </w:pPr>
  </w:style>
  <w:style w:type="character" w:styleId="Collegamentoipertestuale">
    <w:name w:val="Hyperlink"/>
    <w:rsid w:val="00130283"/>
    <w:rPr>
      <w:color w:val="0000FF"/>
      <w:u w:val="single"/>
    </w:rPr>
  </w:style>
  <w:style w:type="table" w:styleId="Grigliatabella">
    <w:name w:val="Table Grid"/>
    <w:basedOn w:val="Tabellanormale"/>
    <w:rsid w:val="006F0A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uiPriority w:val="99"/>
    <w:semiHidden/>
    <w:unhideWhenUsed/>
    <w:rsid w:val="000C628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C6289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C6289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C6289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0C6289"/>
    <w:rPr>
      <w:b/>
      <w:bCs/>
    </w:rPr>
  </w:style>
  <w:style w:type="paragraph" w:styleId="Paragrafoelenco">
    <w:name w:val="List Paragraph"/>
    <w:basedOn w:val="Normale"/>
    <w:uiPriority w:val="34"/>
    <w:qFormat/>
    <w:rsid w:val="00A87923"/>
    <w:pPr>
      <w:ind w:left="720"/>
      <w:contextualSpacing/>
    </w:pPr>
  </w:style>
  <w:style w:type="character" w:customStyle="1" w:styleId="PidipaginaCarattere">
    <w:name w:val="Piè di pagina Carattere"/>
    <w:basedOn w:val="Carpredefinitoparagrafo"/>
    <w:link w:val="Pidipagina"/>
    <w:rsid w:val="00025707"/>
  </w:style>
  <w:style w:type="character" w:styleId="Collegamentovisitato">
    <w:name w:val="FollowedHyperlink"/>
    <w:basedOn w:val="Carpredefinitoparagrafo"/>
    <w:uiPriority w:val="99"/>
    <w:semiHidden/>
    <w:unhideWhenUsed/>
    <w:rsid w:val="00F2048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5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3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97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7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ufficio.stampa@tn.camcom.i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ufficio.stampa@tn.camcom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oglio_di_lavoro_di_Microsoft_Excel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Foglio_di_lavoro_di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r>
              <a:rPr lang="it-IT" sz="900" b="1"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rPr>
              <a:t>Fallimenti dichiarati dalle</a:t>
            </a:r>
            <a:r>
              <a:rPr lang="it-IT" sz="900" b="1" baseline="0"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rPr>
              <a:t> imprese. Anni 2000-2021.</a:t>
            </a:r>
            <a:endParaRPr lang="it-IT" sz="900" b="1"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endParaRPr>
          </a:p>
        </c:rich>
      </c:tx>
      <c:layout>
        <c:manualLayout>
          <c:xMode val="edge"/>
          <c:yMode val="edge"/>
          <c:x val="9.9502487562189053E-3"/>
          <c:y val="2.395557198706805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2.3228542327731423E-2"/>
          <c:y val="0.15656469514737231"/>
          <c:w val="0.93250636580875157"/>
          <c:h val="0.600668055555555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'gr. 7.1'!$B$2</c:f>
              <c:strCache>
                <c:ptCount val="1"/>
                <c:pt idx="0">
                  <c:v>numero</c:v>
                </c:pt>
              </c:strCache>
            </c:strRef>
          </c:tx>
          <c:spPr>
            <a:solidFill>
              <a:srgbClr val="C00000"/>
            </a:solidFill>
            <a:ln w="12700">
              <a:solidFill>
                <a:srgbClr val="C00000"/>
              </a:solidFill>
              <a:prstDash val="solid"/>
            </a:ln>
          </c:spPr>
          <c:invertIfNegative val="0"/>
          <c:dLbls>
            <c:dLbl>
              <c:idx val="21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800" b="0"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it-IT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54BD-4BCA-A198-3E9FC14185E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it-I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numRef>
              <c:f>'gr. 7.1'!$A$24:$A$45</c:f>
              <c:numCache>
                <c:formatCode>General</c:formatCode>
                <c:ptCount val="22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</c:numCache>
            </c:numRef>
          </c:cat>
          <c:val>
            <c:numRef>
              <c:f>'gr. 7.1'!$B$24:$B$45</c:f>
              <c:numCache>
                <c:formatCode>General</c:formatCode>
                <c:ptCount val="22"/>
                <c:pt idx="0">
                  <c:v>64</c:v>
                </c:pt>
                <c:pt idx="1">
                  <c:v>40</c:v>
                </c:pt>
                <c:pt idx="2">
                  <c:v>56</c:v>
                </c:pt>
                <c:pt idx="3">
                  <c:v>42</c:v>
                </c:pt>
                <c:pt idx="4">
                  <c:v>69</c:v>
                </c:pt>
                <c:pt idx="5">
                  <c:v>58</c:v>
                </c:pt>
                <c:pt idx="6">
                  <c:v>35</c:v>
                </c:pt>
                <c:pt idx="7">
                  <c:v>40</c:v>
                </c:pt>
                <c:pt idx="8">
                  <c:v>32</c:v>
                </c:pt>
                <c:pt idx="9">
                  <c:v>61</c:v>
                </c:pt>
                <c:pt idx="10">
                  <c:v>66</c:v>
                </c:pt>
                <c:pt idx="11">
                  <c:v>63</c:v>
                </c:pt>
                <c:pt idx="12">
                  <c:v>69</c:v>
                </c:pt>
                <c:pt idx="13">
                  <c:v>97</c:v>
                </c:pt>
                <c:pt idx="14">
                  <c:v>126</c:v>
                </c:pt>
                <c:pt idx="15">
                  <c:v>135</c:v>
                </c:pt>
                <c:pt idx="16">
                  <c:v>145</c:v>
                </c:pt>
                <c:pt idx="17">
                  <c:v>100</c:v>
                </c:pt>
                <c:pt idx="18">
                  <c:v>71</c:v>
                </c:pt>
                <c:pt idx="19">
                  <c:v>61</c:v>
                </c:pt>
                <c:pt idx="20">
                  <c:v>56</c:v>
                </c:pt>
                <c:pt idx="21">
                  <c:v>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4BD-4BCA-A198-3E9FC14185E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21587584"/>
        <c:axId val="121589120"/>
      </c:barChart>
      <c:catAx>
        <c:axId val="1215875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it-IT"/>
          </a:p>
        </c:txPr>
        <c:crossAx val="1215891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158912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21587584"/>
        <c:crosses val="autoZero"/>
        <c:crossBetween val="between"/>
      </c:valAx>
      <c:spPr>
        <a:solidFill>
          <a:srgbClr val="FFFFFF"/>
        </a:solidFill>
        <a:ln w="12700">
          <a:noFill/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12700">
      <a:solidFill>
        <a:schemeClr val="bg1">
          <a:lumMod val="85000"/>
        </a:schemeClr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Book Antiqua"/>
          <a:ea typeface="Book Antiqua"/>
          <a:cs typeface="Book Antiqua"/>
        </a:defRPr>
      </a:pPr>
      <a:endParaRPr lang="it-IT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it-IT" sz="900" b="1">
                <a:solidFill>
                  <a:schemeClr val="tx1"/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rPr>
              <a:t>Incidenza</a:t>
            </a:r>
            <a:r>
              <a:rPr lang="it-IT" sz="900" b="1" baseline="0">
                <a:solidFill>
                  <a:schemeClr val="tx1"/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rPr>
              <a:t> dei fallimenti per settore (%). Anni 2016-2021.</a:t>
            </a:r>
            <a:endParaRPr lang="it-IT" sz="900" b="1">
              <a:solidFill>
                <a:schemeClr val="tx1"/>
              </a:solidFill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endParaRPr>
          </a:p>
        </c:rich>
      </c:tx>
      <c:layout>
        <c:manualLayout>
          <c:xMode val="edge"/>
          <c:yMode val="edge"/>
          <c:x val="9.9783601827362328E-3"/>
          <c:y val="1.522842639593908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plotArea>
      <c:layout>
        <c:manualLayout>
          <c:layoutTarget val="inner"/>
          <c:xMode val="edge"/>
          <c:yMode val="edge"/>
          <c:x val="7.3865123202883215E-2"/>
          <c:y val="0.15673234648550249"/>
          <c:w val="0.89462791063115188"/>
          <c:h val="0.659352775723944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Foglio1!$A$11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Foglio1!$B$10:$F$10</c:f>
              <c:strCache>
                <c:ptCount val="5"/>
                <c:pt idx="0">
                  <c:v>Edile-immobiliare</c:v>
                </c:pt>
                <c:pt idx="1">
                  <c:v>Manifatt.</c:v>
                </c:pt>
                <c:pt idx="2">
                  <c:v>Commercio</c:v>
                </c:pt>
                <c:pt idx="3">
                  <c:v>Alberghi-bar-ristoranti</c:v>
                </c:pt>
                <c:pt idx="4">
                  <c:v>Altri settori</c:v>
                </c:pt>
              </c:strCache>
            </c:strRef>
          </c:cat>
          <c:val>
            <c:numRef>
              <c:f>Foglio1!$B$11:$F$11</c:f>
              <c:numCache>
                <c:formatCode>0.0</c:formatCode>
                <c:ptCount val="5"/>
                <c:pt idx="0">
                  <c:v>0.44137931034482758</c:v>
                </c:pt>
                <c:pt idx="1">
                  <c:v>0.2</c:v>
                </c:pt>
                <c:pt idx="2">
                  <c:v>0.13793103448275862</c:v>
                </c:pt>
                <c:pt idx="3">
                  <c:v>6.8965517241379309E-2</c:v>
                </c:pt>
                <c:pt idx="4">
                  <c:v>0.15172413793103448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C8-49FE-ABDB-E0092B96F44F}"/>
            </c:ext>
          </c:extLst>
        </c:ser>
        <c:ser>
          <c:idx val="1"/>
          <c:order val="1"/>
          <c:tx>
            <c:strRef>
              <c:f>Foglio1!$A$12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Foglio1!$B$10:$F$10</c:f>
              <c:strCache>
                <c:ptCount val="5"/>
                <c:pt idx="0">
                  <c:v>Edile-immobiliare</c:v>
                </c:pt>
                <c:pt idx="1">
                  <c:v>Manifatt.</c:v>
                </c:pt>
                <c:pt idx="2">
                  <c:v>Commercio</c:v>
                </c:pt>
                <c:pt idx="3">
                  <c:v>Alberghi-bar-ristoranti</c:v>
                </c:pt>
                <c:pt idx="4">
                  <c:v>Altri settori</c:v>
                </c:pt>
              </c:strCache>
            </c:strRef>
          </c:cat>
          <c:val>
            <c:numRef>
              <c:f>Foglio1!$B$12:$F$12</c:f>
              <c:numCache>
                <c:formatCode>0.0</c:formatCode>
                <c:ptCount val="5"/>
                <c:pt idx="0">
                  <c:v>0.49</c:v>
                </c:pt>
                <c:pt idx="1">
                  <c:v>0.16</c:v>
                </c:pt>
                <c:pt idx="2">
                  <c:v>7.0000000000000007E-2</c:v>
                </c:pt>
                <c:pt idx="3">
                  <c:v>0.09</c:v>
                </c:pt>
                <c:pt idx="4">
                  <c:v>0.19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7C8-49FE-ABDB-E0092B96F44F}"/>
            </c:ext>
          </c:extLst>
        </c:ser>
        <c:ser>
          <c:idx val="2"/>
          <c:order val="2"/>
          <c:tx>
            <c:strRef>
              <c:f>Foglio1!$A$13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Foglio1!$B$10:$F$10</c:f>
              <c:strCache>
                <c:ptCount val="5"/>
                <c:pt idx="0">
                  <c:v>Edile-immobiliare</c:v>
                </c:pt>
                <c:pt idx="1">
                  <c:v>Manifatt.</c:v>
                </c:pt>
                <c:pt idx="2">
                  <c:v>Commercio</c:v>
                </c:pt>
                <c:pt idx="3">
                  <c:v>Alberghi-bar-ristoranti</c:v>
                </c:pt>
                <c:pt idx="4">
                  <c:v>Altri settori</c:v>
                </c:pt>
              </c:strCache>
            </c:strRef>
          </c:cat>
          <c:val>
            <c:numRef>
              <c:f>Foglio1!$B$13:$F$13</c:f>
              <c:numCache>
                <c:formatCode>0.0</c:formatCode>
                <c:ptCount val="5"/>
                <c:pt idx="0">
                  <c:v>0.36619718309859156</c:v>
                </c:pt>
                <c:pt idx="1">
                  <c:v>0.12676056338028169</c:v>
                </c:pt>
                <c:pt idx="2">
                  <c:v>0.21126760563380281</c:v>
                </c:pt>
                <c:pt idx="3">
                  <c:v>0.11267605633802817</c:v>
                </c:pt>
                <c:pt idx="4">
                  <c:v>0.18309859154929578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7C8-49FE-ABDB-E0092B96F44F}"/>
            </c:ext>
          </c:extLst>
        </c:ser>
        <c:ser>
          <c:idx val="3"/>
          <c:order val="3"/>
          <c:tx>
            <c:strRef>
              <c:f>Foglio1!$A$14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Foglio1!$B$10:$F$10</c:f>
              <c:strCache>
                <c:ptCount val="5"/>
                <c:pt idx="0">
                  <c:v>Edile-immobiliare</c:v>
                </c:pt>
                <c:pt idx="1">
                  <c:v>Manifatt.</c:v>
                </c:pt>
                <c:pt idx="2">
                  <c:v>Commercio</c:v>
                </c:pt>
                <c:pt idx="3">
                  <c:v>Alberghi-bar-ristoranti</c:v>
                </c:pt>
                <c:pt idx="4">
                  <c:v>Altri settori</c:v>
                </c:pt>
              </c:strCache>
            </c:strRef>
          </c:cat>
          <c:val>
            <c:numRef>
              <c:f>Foglio1!$B$14:$F$14</c:f>
              <c:numCache>
                <c:formatCode>0.0</c:formatCode>
                <c:ptCount val="5"/>
                <c:pt idx="0">
                  <c:v>0.32786885245901637</c:v>
                </c:pt>
                <c:pt idx="1">
                  <c:v>9.8360655737704916E-2</c:v>
                </c:pt>
                <c:pt idx="2">
                  <c:v>0.16393442622950818</c:v>
                </c:pt>
                <c:pt idx="3">
                  <c:v>0.13114754098360656</c:v>
                </c:pt>
                <c:pt idx="4">
                  <c:v>0.27868852459016391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7C8-49FE-ABDB-E0092B96F44F}"/>
            </c:ext>
          </c:extLst>
        </c:ser>
        <c:ser>
          <c:idx val="4"/>
          <c:order val="4"/>
          <c:tx>
            <c:strRef>
              <c:f>Foglio1!$A$15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887361"/>
            </a:solidFill>
            <a:ln>
              <a:noFill/>
            </a:ln>
            <a:effectLst/>
          </c:spPr>
          <c:invertIfNegative val="0"/>
          <c:cat>
            <c:strRef>
              <c:f>Foglio1!$B$10:$F$10</c:f>
              <c:strCache>
                <c:ptCount val="5"/>
                <c:pt idx="0">
                  <c:v>Edile-immobiliare</c:v>
                </c:pt>
                <c:pt idx="1">
                  <c:v>Manifatt.</c:v>
                </c:pt>
                <c:pt idx="2">
                  <c:v>Commercio</c:v>
                </c:pt>
                <c:pt idx="3">
                  <c:v>Alberghi-bar-ristoranti</c:v>
                </c:pt>
                <c:pt idx="4">
                  <c:v>Altri settori</c:v>
                </c:pt>
              </c:strCache>
            </c:strRef>
          </c:cat>
          <c:val>
            <c:numRef>
              <c:f>Foglio1!$B$15:$F$15</c:f>
              <c:numCache>
                <c:formatCode>0.0</c:formatCode>
                <c:ptCount val="5"/>
                <c:pt idx="0">
                  <c:v>0.375</c:v>
                </c:pt>
                <c:pt idx="1">
                  <c:v>0.125</c:v>
                </c:pt>
                <c:pt idx="2">
                  <c:v>0.25</c:v>
                </c:pt>
                <c:pt idx="3">
                  <c:v>0.14285714285714285</c:v>
                </c:pt>
                <c:pt idx="4">
                  <c:v>0.10714285714285714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7C8-49FE-ABDB-E0092B96F44F}"/>
            </c:ext>
          </c:extLst>
        </c:ser>
        <c:ser>
          <c:idx val="5"/>
          <c:order val="5"/>
          <c:tx>
            <c:strRef>
              <c:f>Foglio1!$A$16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C00000"/>
            </a:solidFill>
            <a:ln>
              <a:solidFill>
                <a:srgbClr val="C00000"/>
              </a:solidFill>
            </a:ln>
            <a:effectLst/>
          </c:spPr>
          <c:invertIfNegative val="0"/>
          <c:cat>
            <c:strRef>
              <c:f>Foglio1!$B$10:$F$10</c:f>
              <c:strCache>
                <c:ptCount val="5"/>
                <c:pt idx="0">
                  <c:v>Edile-immobiliare</c:v>
                </c:pt>
                <c:pt idx="1">
                  <c:v>Manifatt.</c:v>
                </c:pt>
                <c:pt idx="2">
                  <c:v>Commercio</c:v>
                </c:pt>
                <c:pt idx="3">
                  <c:v>Alberghi-bar-ristoranti</c:v>
                </c:pt>
                <c:pt idx="4">
                  <c:v>Altri settori</c:v>
                </c:pt>
              </c:strCache>
            </c:strRef>
          </c:cat>
          <c:val>
            <c:numRef>
              <c:f>Foglio1!$B$16:$F$16</c:f>
              <c:numCache>
                <c:formatCode>0.0</c:formatCode>
                <c:ptCount val="5"/>
                <c:pt idx="0">
                  <c:v>0.46296296296296297</c:v>
                </c:pt>
                <c:pt idx="1">
                  <c:v>3.7037037037037035E-2</c:v>
                </c:pt>
                <c:pt idx="2">
                  <c:v>0.16666666666666666</c:v>
                </c:pt>
                <c:pt idx="3">
                  <c:v>0.12962962962962962</c:v>
                </c:pt>
                <c:pt idx="4">
                  <c:v>0.20370370370370369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7C8-49FE-ABDB-E0092B96F4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2022624"/>
        <c:axId val="422018032"/>
      </c:barChart>
      <c:catAx>
        <c:axId val="422022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it-IT"/>
          </a:p>
        </c:txPr>
        <c:crossAx val="422018032"/>
        <c:crosses val="autoZero"/>
        <c:auto val="1"/>
        <c:lblAlgn val="ctr"/>
        <c:lblOffset val="100"/>
        <c:noMultiLvlLbl val="0"/>
      </c:catAx>
      <c:valAx>
        <c:axId val="422018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it-IT"/>
          </a:p>
        </c:txPr>
        <c:crossAx val="422022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2397363575821665"/>
          <c:y val="0.89418496824645144"/>
          <c:w val="0.4473641263704744"/>
          <c:h val="7.5358327670970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defRPr>
          </a:pPr>
          <a:endParaRPr lang="it-I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AF0C8B-5C74-4E4E-B081-08AB9C454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490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Camera di Commercio i.a.a. Tn</Company>
  <LinksUpToDate>false</LinksUpToDate>
  <CharactersWithSpaces>3329</CharactersWithSpaces>
  <SharedDoc>false</SharedDoc>
  <HLinks>
    <vt:vector size="6" baseType="variant">
      <vt:variant>
        <vt:i4>3538962</vt:i4>
      </vt:variant>
      <vt:variant>
        <vt:i4>0</vt:i4>
      </vt:variant>
      <vt:variant>
        <vt:i4>0</vt:i4>
      </vt:variant>
      <vt:variant>
        <vt:i4>5</vt:i4>
      </vt:variant>
      <vt:variant>
        <vt:lpwstr>mailto:nome.cognome@tn.camcom.it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Andreoli Martina</dc:creator>
  <cp:lastModifiedBy>Plotegher Donatella</cp:lastModifiedBy>
  <cp:revision>2</cp:revision>
  <cp:lastPrinted>2022-01-12T10:16:00Z</cp:lastPrinted>
  <dcterms:created xsi:type="dcterms:W3CDTF">2022-01-12T10:25:00Z</dcterms:created>
  <dcterms:modified xsi:type="dcterms:W3CDTF">2022-01-12T10:25:00Z</dcterms:modified>
</cp:coreProperties>
</file>